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报告周期：2026年8月28日 — 9月4日（滚动一周）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星宇股份批量劝退应届生事件进入‘连锁反应期’：董事长公开道歉、股价一周蒸发超32亿元、港交所启动个案核查、大众中国与奔驰先后介入供应链合规调查，A+H上市进程蒙上阴影——企业用工合规已从‘内部管理小事’上升为影响资本运作与全球订单的治理命题；与此同时，BOSS直聘二季度经营利润大增32.6%、MAU首破7000万，科锐国际中报净利增长19.72%，AI+人力资源服务大赛落地苏州，行业在合规阵痛与技术红利中加速分化。</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星宇股份‘劝退应届生’事件持续发酵：董事长周晓萍公开致歉，股价连跌6天、一周市值蒸发超32亿元，近30天累计跌超20%，股价跌回2019年水平</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港交所确认将星宇用工投诉转交上市科作个案核查；大众中国称已‘第一时间启动专项调查’，媒体报道奔驰亦已受理相关举报——事件进入跨国车企供应链合规视野</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BOSS直聘二季度营收23.99亿元（同比+14.1%），经营利润8.63亿元（同比+32.6%），MAU首次突破7000万；宣布斥资2.3亿美元派息，年内股东回报超上年经调整净利润100%</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科锐国际发布中报：上半年营收81.19亿元（+14.75%），归母净利润1.51亿元（+19.72%），扣非净利润1.21亿元（+25.81%）</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第48届世界技能大赛确认9月22日在上海开幕，71名中国选手全项出击；‘AI+人力资源服务’创新创意大赛总决赛在苏州举办，全球500余个项目报名</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第48届世界技能大赛9月22日上海开幕，技能人才话题升温</w:t>
      </w:r>
    </w:p>
    <w:p>
      <w:pPr>
        <w:spacing w:after="140" w:before="0" w:line="312" w:lineRule="auto"/>
        <w:ind w:left="113"/>
      </w:pPr>
      <w:r>
        <w:rPr>
          <w:rFonts w:ascii="微软雅黑" w:hAnsi="微软雅黑" w:eastAsia="微软雅黑"/>
          <w:b w:val="0"/>
          <w:i w:val="0"/>
          <w:color w:val="202833"/>
          <w:sz w:val="22"/>
        </w:rPr>
        <w:t>据新浪财经等媒体报道，第48届世界技能大赛将于9月22日在上海开幕，这是该赛事时隔多年再次回到中国举办。目前71名中国选手将参加全部比赛项目，上海已进入‘冲刺时刻’，多语种城市推荐官队伍同步扩充，为赛事提供文旅讲解等服务。</w:t>
      </w:r>
    </w:p>
    <w:p>
      <w:pPr>
        <w:spacing w:after="140" w:before="0" w:line="312" w:lineRule="auto"/>
        <w:ind w:left="113"/>
      </w:pPr>
      <w:r>
        <w:rPr>
          <w:rFonts w:ascii="微软雅黑" w:hAnsi="微软雅黑" w:eastAsia="微软雅黑"/>
          <w:b w:val="0"/>
          <w:i w:val="0"/>
          <w:color w:val="202833"/>
          <w:sz w:val="22"/>
        </w:rPr>
        <w:t>作为全球规模最大、水平最高的职业技能赛事，世界技能大赛的举办将技能人才培养再度推向聚光灯下。结合‘十五五’规划提出的‘技能人才占就业人员比例从30%提高到35%’目标，技能评价扩容、职业教育改革与产教融合预计将成为下半年人力资源服务业的政策主线之一。</w:t>
      </w:r>
    </w:p>
    <w:p>
      <w:pPr>
        <w:spacing w:after="140" w:before="0" w:line="312" w:lineRule="auto"/>
        <w:ind w:left="113"/>
      </w:pPr>
      <w:r>
        <w:rPr>
          <w:rFonts w:ascii="微软雅黑" w:hAnsi="微软雅黑" w:eastAsia="微软雅黑"/>
          <w:b w:val="0"/>
          <w:i w:val="0"/>
          <w:color w:val="202833"/>
          <w:sz w:val="22"/>
        </w:rPr>
        <w:t>此外，9月起40项劳动防护用品强制性国家标准正式实施（据中新网9月2日报道），从职业安全防护端为制造业劳动者筑牢底线，劳动安全与职业健康治理同步趋严。</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上半年城镇新增就业695万人，就业大盘总体稳定</w:t>
      </w:r>
    </w:p>
    <w:p>
      <w:pPr>
        <w:spacing w:after="140" w:before="0" w:line="312" w:lineRule="auto"/>
        <w:ind w:left="113"/>
      </w:pPr>
      <w:r>
        <w:rPr>
          <w:rFonts w:ascii="微软雅黑" w:hAnsi="微软雅黑" w:eastAsia="微软雅黑"/>
          <w:b w:val="0"/>
          <w:i w:val="0"/>
          <w:color w:val="202833"/>
          <w:sz w:val="22"/>
        </w:rPr>
        <w:t>新华社8月底报道显示，2026年上半年全国城镇新增就业695万人，城镇调查失业率平均值为5.2%，就业形势总体稳定。各地以‘十五五’开局之年为契机，持续创新就业服务模式：新华网‘各地稳就业保民生一线观察’报道了靠前服务、精准赋能的地方实践。</w:t>
      </w:r>
    </w:p>
    <w:p>
      <w:pPr>
        <w:spacing w:after="140" w:before="0" w:line="312" w:lineRule="auto"/>
        <w:ind w:left="113"/>
      </w:pPr>
      <w:r>
        <w:rPr>
          <w:rFonts w:ascii="微软雅黑" w:hAnsi="微软雅黑" w:eastAsia="微软雅黑"/>
          <w:b w:val="0"/>
          <w:i w:val="0"/>
          <w:color w:val="202833"/>
          <w:sz w:val="22"/>
        </w:rPr>
        <w:t>结构性亮点同样明显：广东宣布2026年秋季将在全国14个省市100所重点高校开展N城联动秋季招聘，9月中旬起在北京、上海、武汉三地同时启动，9月即密集举办校园招聘55场，人工智能相关领域岗位数量将占招聘岗位总数的10%以上，‘万企进百校’送岗上门成为地方引才新范式。</w:t>
      </w:r>
    </w:p>
    <w:tbl>
      <w:tblPr>
        <w:tblW w:type="auto" w:w="0"/>
        <w:jc w:val="center"/>
        <w:tblLook w:firstColumn="1" w:firstRow="1" w:lastColumn="0" w:lastRow="0" w:noHBand="0" w:noVBand="1" w:val="04A0"/>
      </w:tblPr>
      <w:tblGrid>
        <w:gridCol w:w="3324"/>
        <w:gridCol w:w="3324"/>
        <w:gridCol w:w="3324"/>
      </w:tblGrid>
      <w:tr>
        <w:tc>
          <w:tcPr>
            <w:tcW w:type="dxa" w:w="3324"/>
            <w:vAlign w:val="center"/>
            <w:shd w:val="clear" w:fill="0F2452"/>
          </w:tcPr>
          <w:p>
            <w:pPr>
              <w:jc w:val="center"/>
            </w:pPr>
            <w:r/>
            <w:r>
              <w:rPr>
                <w:rFonts w:ascii="微软雅黑" w:hAnsi="微软雅黑" w:eastAsia="微软雅黑"/>
                <w:b/>
                <w:i w:val="0"/>
                <w:color w:val="FFFFFF"/>
                <w:sz w:val="21"/>
              </w:rPr>
              <w:t>指标</w:t>
            </w:r>
          </w:p>
        </w:tc>
        <w:tc>
          <w:tcPr>
            <w:tcW w:type="dxa" w:w="3324"/>
            <w:vAlign w:val="center"/>
            <w:shd w:val="clear" w:fill="0F2452"/>
          </w:tcPr>
          <w:p>
            <w:pPr>
              <w:jc w:val="center"/>
            </w:pPr>
            <w:r/>
            <w:r>
              <w:rPr>
                <w:rFonts w:ascii="微软雅黑" w:hAnsi="微软雅黑" w:eastAsia="微软雅黑"/>
                <w:b/>
                <w:i w:val="0"/>
                <w:color w:val="FFFFFF"/>
                <w:sz w:val="21"/>
              </w:rPr>
              <w:t>数据</w:t>
            </w:r>
          </w:p>
        </w:tc>
        <w:tc>
          <w:tcPr>
            <w:tcW w:type="dxa" w:w="3324"/>
            <w:vAlign w:val="center"/>
            <w:shd w:val="clear" w:fill="0F2452"/>
          </w:tcPr>
          <w:p>
            <w:pPr>
              <w:jc w:val="center"/>
            </w:pPr>
            <w:r/>
            <w:r>
              <w:rPr>
                <w:rFonts w:ascii="微软雅黑" w:hAnsi="微软雅黑" w:eastAsia="微软雅黑"/>
                <w:b/>
                <w:i w:val="0"/>
                <w:color w:val="FFFFFF"/>
                <w:sz w:val="21"/>
              </w:rPr>
              <w:t>说明</w:t>
            </w:r>
          </w:p>
        </w:tc>
      </w:tr>
      <w:tr>
        <w:tc>
          <w:tcPr>
            <w:tcW w:type="dxa" w:w="3324"/>
            <w:vAlign w:val="center"/>
          </w:tcPr>
          <w:p>
            <w:pPr>
              <w:jc w:val="center"/>
            </w:pPr>
            <w:r/>
            <w:r>
              <w:rPr>
                <w:rFonts w:ascii="微软雅黑" w:hAnsi="微软雅黑" w:eastAsia="微软雅黑"/>
                <w:b w:val="0"/>
                <w:i w:val="0"/>
                <w:color w:val="202833"/>
                <w:sz w:val="20"/>
              </w:rPr>
              <w:t>城镇新增就业</w:t>
            </w:r>
          </w:p>
        </w:tc>
        <w:tc>
          <w:tcPr>
            <w:tcW w:type="dxa" w:w="3324"/>
            <w:vAlign w:val="center"/>
          </w:tcPr>
          <w:p>
            <w:pPr>
              <w:jc w:val="center"/>
            </w:pPr>
            <w:r/>
            <w:r>
              <w:rPr>
                <w:rFonts w:ascii="微软雅黑" w:hAnsi="微软雅黑" w:eastAsia="微软雅黑"/>
                <w:b w:val="0"/>
                <w:i w:val="0"/>
                <w:color w:val="202833"/>
                <w:sz w:val="20"/>
              </w:rPr>
              <w:t>695万人（上半年）</w:t>
            </w:r>
          </w:p>
        </w:tc>
        <w:tc>
          <w:tcPr>
            <w:tcW w:type="dxa" w:w="3324"/>
            <w:vAlign w:val="center"/>
          </w:tcPr>
          <w:p>
            <w:pPr>
              <w:jc w:val="center"/>
            </w:pPr>
            <w:r/>
            <w:r>
              <w:rPr>
                <w:rFonts w:ascii="微软雅黑" w:hAnsi="微软雅黑" w:eastAsia="微软雅黑"/>
                <w:b w:val="0"/>
                <w:i w:val="0"/>
                <w:color w:val="202833"/>
                <w:sz w:val="20"/>
              </w:rPr>
              <w:t>同比保持稳定</w:t>
            </w:r>
          </w:p>
        </w:tc>
      </w:tr>
      <w:tr>
        <w:tc>
          <w:tcPr>
            <w:tcW w:type="dxa" w:w="3324"/>
            <w:vAlign w:val="center"/>
            <w:shd w:val="clear" w:fill="EAF1FB"/>
          </w:tcPr>
          <w:p>
            <w:pPr>
              <w:jc w:val="center"/>
            </w:pPr>
            <w:r/>
            <w:r>
              <w:rPr>
                <w:rFonts w:ascii="微软雅黑" w:hAnsi="微软雅黑" w:eastAsia="微软雅黑"/>
                <w:b w:val="0"/>
                <w:i w:val="0"/>
                <w:color w:val="202833"/>
                <w:sz w:val="20"/>
              </w:rPr>
              <w:t>城镇调查失业率</w:t>
            </w:r>
          </w:p>
        </w:tc>
        <w:tc>
          <w:tcPr>
            <w:tcW w:type="dxa" w:w="3324"/>
            <w:vAlign w:val="center"/>
            <w:shd w:val="clear" w:fill="EAF1FB"/>
          </w:tcPr>
          <w:p>
            <w:pPr>
              <w:jc w:val="center"/>
            </w:pPr>
            <w:r/>
            <w:r>
              <w:rPr>
                <w:rFonts w:ascii="微软雅黑" w:hAnsi="微软雅黑" w:eastAsia="微软雅黑"/>
                <w:b w:val="0"/>
                <w:i w:val="0"/>
                <w:color w:val="202833"/>
                <w:sz w:val="20"/>
              </w:rPr>
              <w:t>5.2%（均值）</w:t>
            </w:r>
          </w:p>
        </w:tc>
        <w:tc>
          <w:tcPr>
            <w:tcW w:type="dxa" w:w="3324"/>
            <w:vAlign w:val="center"/>
            <w:shd w:val="clear" w:fill="EAF1FB"/>
          </w:tcPr>
          <w:p>
            <w:pPr>
              <w:jc w:val="center"/>
            </w:pPr>
            <w:r/>
            <w:r>
              <w:rPr>
                <w:rFonts w:ascii="微软雅黑" w:hAnsi="微软雅黑" w:eastAsia="微软雅黑"/>
                <w:b w:val="0"/>
                <w:i w:val="0"/>
                <w:color w:val="202833"/>
                <w:sz w:val="20"/>
              </w:rPr>
              <w:t>总体处于合理区间</w:t>
            </w:r>
          </w:p>
        </w:tc>
      </w:tr>
      <w:tr>
        <w:tc>
          <w:tcPr>
            <w:tcW w:type="dxa" w:w="3324"/>
            <w:vAlign w:val="center"/>
          </w:tcPr>
          <w:p>
            <w:pPr>
              <w:jc w:val="center"/>
            </w:pPr>
            <w:r/>
            <w:r>
              <w:rPr>
                <w:rFonts w:ascii="微软雅黑" w:hAnsi="微软雅黑" w:eastAsia="微软雅黑"/>
                <w:b w:val="0"/>
                <w:i w:val="0"/>
                <w:color w:val="202833"/>
                <w:sz w:val="20"/>
              </w:rPr>
              <w:t>广东秋招规模</w:t>
            </w:r>
          </w:p>
        </w:tc>
        <w:tc>
          <w:tcPr>
            <w:tcW w:type="dxa" w:w="3324"/>
            <w:vAlign w:val="center"/>
          </w:tcPr>
          <w:p>
            <w:pPr>
              <w:jc w:val="center"/>
            </w:pPr>
            <w:r/>
            <w:r>
              <w:rPr>
                <w:rFonts w:ascii="微软雅黑" w:hAnsi="微软雅黑" w:eastAsia="微软雅黑"/>
                <w:b w:val="0"/>
                <w:i w:val="0"/>
                <w:color w:val="202833"/>
                <w:sz w:val="20"/>
              </w:rPr>
              <w:t>100所重点高校/55场</w:t>
            </w:r>
          </w:p>
        </w:tc>
        <w:tc>
          <w:tcPr>
            <w:tcW w:type="dxa" w:w="3324"/>
            <w:vAlign w:val="center"/>
          </w:tcPr>
          <w:p>
            <w:pPr>
              <w:jc w:val="center"/>
            </w:pPr>
            <w:r/>
            <w:r>
              <w:rPr>
                <w:rFonts w:ascii="微软雅黑" w:hAnsi="微软雅黑" w:eastAsia="微软雅黑"/>
                <w:b w:val="0"/>
                <w:i w:val="0"/>
                <w:color w:val="202833"/>
                <w:sz w:val="20"/>
              </w:rPr>
              <w:t>AI相关岗位占比超10%</w:t>
            </w:r>
          </w:p>
        </w:tc>
      </w:tr>
    </w:tbl>
    <w:p>
      <w:pPr>
        <w:spacing w:after="40"/>
      </w:pP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就业大盘企稳背景下，政策重心从‘保量’转向‘提质’：技能大赛、AI岗位扩容与跨省引才显示，高质量就业与技能型岗位供给成为下半年主旋律。</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BOSS直聘二季度经营利润同比增32.6%，MAU首破7000万</w:t>
      </w:r>
    </w:p>
    <w:p>
      <w:pPr>
        <w:spacing w:after="140" w:before="0" w:line="312" w:lineRule="auto"/>
        <w:ind w:left="113"/>
      </w:pPr>
      <w:r>
        <w:rPr>
          <w:rFonts w:ascii="微软雅黑" w:hAnsi="微软雅黑" w:eastAsia="微软雅黑"/>
          <w:b w:val="0"/>
          <w:i w:val="0"/>
          <w:color w:val="202833"/>
          <w:sz w:val="22"/>
        </w:rPr>
        <w:t>8月26日，BOSS直聘（NASDAQ:BZ；HKEX:02076）发布2026年第二季度财报：实现营收23.99亿元，同比增长14.1%；经营利润8.63亿元，同比大增32.6%。第二季度平均月活跃用户数（MAU）首次突破7000万，同比上涨10.4%。</w:t>
      </w:r>
    </w:p>
    <w:p>
      <w:pPr>
        <w:spacing w:after="140" w:before="0" w:line="312" w:lineRule="auto"/>
        <w:ind w:left="113"/>
      </w:pPr>
      <w:r>
        <w:rPr>
          <w:rFonts w:ascii="微软雅黑" w:hAnsi="微软雅黑" w:eastAsia="微软雅黑"/>
          <w:b w:val="0"/>
          <w:i w:val="0"/>
          <w:color w:val="202833"/>
          <w:sz w:val="22"/>
        </w:rPr>
        <w:t>公司同时宣布斥资2.3亿美元派息，年内通过派息和回购进行的股东回报总金额已超过上年经调整后净利润的100%。业绩驱动因素上，蓝领、中小企业和低线级城市构成结构性增长机会：生产制造类、供应链等蓝领岗位在高基数背景下同比增速仍领跑大盘；河南许昌发制品产业带动电商运营、直播带货岗位增长，湖南永州连续两年岗位增速位列全省第一梯队。</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I布局成为BOSS直聘的战略主轴：管理层在业绩说明会上表示，AI Agent一方面提升平台推荐效率，另一方面帮助公司进入匹配后的深度沟通、面试、入职等更高价值环节，将服务向招聘闭环延伸。展望下半年，董事长兼CEO赵鹏提出未来五年坚持‘用户满意’目标，让用户从达成到入职的效率更高、时间更省。</w:t>
      </w:r>
    </w:p>
    <w:p>
      <w:pPr>
        <w:spacing w:after="140" w:before="0" w:line="312" w:lineRule="auto"/>
        <w:ind w:left="113"/>
      </w:pPr>
      <w:r>
        <w:rPr>
          <w:rFonts w:ascii="微软雅黑" w:hAnsi="微软雅黑" w:eastAsia="微软雅黑"/>
          <w:b w:val="0"/>
          <w:i w:val="0"/>
          <w:color w:val="202833"/>
          <w:sz w:val="22"/>
        </w:rPr>
        <w:t>另据上游新闻9月2日报道，BOSS直聘就平台出现的异常‘考核’（实为刷单诱导）发布提示，呼吁求职者如遇异常及时举报。平台治理与黑灰产对抗仍是在线招聘行业常态议题。</w:t>
      </w:r>
    </w:p>
    <w:tbl>
      <w:tblPr>
        <w:tblW w:type="auto" w:w="0"/>
        <w:jc w:val="center"/>
        <w:tblLook w:firstColumn="1" w:firstRow="1" w:lastColumn="0" w:lastRow="0" w:noHBand="0" w:noVBand="1" w:val="04A0"/>
      </w:tblPr>
      <w:tblGrid>
        <w:gridCol w:w="3324"/>
        <w:gridCol w:w="3324"/>
        <w:gridCol w:w="3324"/>
      </w:tblGrid>
      <w:tr>
        <w:tc>
          <w:tcPr>
            <w:tcW w:type="dxa" w:w="3324"/>
            <w:vAlign w:val="center"/>
            <w:shd w:val="clear" w:fill="0F2452"/>
          </w:tcPr>
          <w:p>
            <w:pPr>
              <w:jc w:val="center"/>
            </w:pPr>
            <w:r/>
            <w:r>
              <w:rPr>
                <w:rFonts w:ascii="微软雅黑" w:hAnsi="微软雅黑" w:eastAsia="微软雅黑"/>
                <w:b/>
                <w:i w:val="0"/>
                <w:color w:val="FFFFFF"/>
                <w:sz w:val="21"/>
              </w:rPr>
              <w:t>指标</w:t>
            </w:r>
          </w:p>
        </w:tc>
        <w:tc>
          <w:tcPr>
            <w:tcW w:type="dxa" w:w="3324"/>
            <w:vAlign w:val="center"/>
            <w:shd w:val="clear" w:fill="0F2452"/>
          </w:tcPr>
          <w:p>
            <w:pPr>
              <w:jc w:val="center"/>
            </w:pPr>
            <w:r/>
            <w:r>
              <w:rPr>
                <w:rFonts w:ascii="微软雅黑" w:hAnsi="微软雅黑" w:eastAsia="微软雅黑"/>
                <w:b/>
                <w:i w:val="0"/>
                <w:color w:val="FFFFFF"/>
                <w:sz w:val="21"/>
              </w:rPr>
              <w:t>2026Q2数据</w:t>
            </w:r>
          </w:p>
        </w:tc>
        <w:tc>
          <w:tcPr>
            <w:tcW w:type="dxa" w:w="3324"/>
            <w:vAlign w:val="center"/>
            <w:shd w:val="clear" w:fill="0F2452"/>
          </w:tcPr>
          <w:p>
            <w:pPr>
              <w:jc w:val="center"/>
            </w:pPr>
            <w:r/>
            <w:r>
              <w:rPr>
                <w:rFonts w:ascii="微软雅黑" w:hAnsi="微软雅黑" w:eastAsia="微软雅黑"/>
                <w:b/>
                <w:i w:val="0"/>
                <w:color w:val="FFFFFF"/>
                <w:sz w:val="21"/>
              </w:rPr>
              <w:t>同比变化</w:t>
            </w:r>
          </w:p>
        </w:tc>
      </w:tr>
      <w:tr>
        <w:tc>
          <w:tcPr>
            <w:tcW w:type="dxa" w:w="3324"/>
            <w:vAlign w:val="center"/>
          </w:tcPr>
          <w:p>
            <w:pPr>
              <w:jc w:val="center"/>
            </w:pPr>
            <w:r/>
            <w:r>
              <w:rPr>
                <w:rFonts w:ascii="微软雅黑" w:hAnsi="微软雅黑" w:eastAsia="微软雅黑"/>
                <w:b w:val="0"/>
                <w:i w:val="0"/>
                <w:color w:val="202833"/>
                <w:sz w:val="20"/>
              </w:rPr>
              <w:t>营业收入</w:t>
            </w:r>
          </w:p>
        </w:tc>
        <w:tc>
          <w:tcPr>
            <w:tcW w:type="dxa" w:w="3324"/>
            <w:vAlign w:val="center"/>
          </w:tcPr>
          <w:p>
            <w:pPr>
              <w:jc w:val="center"/>
            </w:pPr>
            <w:r/>
            <w:r>
              <w:rPr>
                <w:rFonts w:ascii="微软雅黑" w:hAnsi="微软雅黑" w:eastAsia="微软雅黑"/>
                <w:b w:val="0"/>
                <w:i w:val="0"/>
                <w:color w:val="202833"/>
                <w:sz w:val="20"/>
              </w:rPr>
              <w:t>23.99亿元</w:t>
            </w:r>
          </w:p>
        </w:tc>
        <w:tc>
          <w:tcPr>
            <w:tcW w:type="dxa" w:w="3324"/>
            <w:vAlign w:val="center"/>
          </w:tcPr>
          <w:p>
            <w:pPr>
              <w:jc w:val="center"/>
            </w:pPr>
            <w:r/>
            <w:r>
              <w:rPr>
                <w:rFonts w:ascii="微软雅黑" w:hAnsi="微软雅黑" w:eastAsia="微软雅黑"/>
                <w:b w:val="0"/>
                <w:i w:val="0"/>
                <w:color w:val="202833"/>
                <w:sz w:val="20"/>
              </w:rPr>
              <w:t>+14.1%</w:t>
            </w:r>
          </w:p>
        </w:tc>
      </w:tr>
      <w:tr>
        <w:tc>
          <w:tcPr>
            <w:tcW w:type="dxa" w:w="3324"/>
            <w:vAlign w:val="center"/>
            <w:shd w:val="clear" w:fill="EAF1FB"/>
          </w:tcPr>
          <w:p>
            <w:pPr>
              <w:jc w:val="center"/>
            </w:pPr>
            <w:r/>
            <w:r>
              <w:rPr>
                <w:rFonts w:ascii="微软雅黑" w:hAnsi="微软雅黑" w:eastAsia="微软雅黑"/>
                <w:b w:val="0"/>
                <w:i w:val="0"/>
                <w:color w:val="202833"/>
                <w:sz w:val="20"/>
              </w:rPr>
              <w:t>经营利润</w:t>
            </w:r>
          </w:p>
        </w:tc>
        <w:tc>
          <w:tcPr>
            <w:tcW w:type="dxa" w:w="3324"/>
            <w:vAlign w:val="center"/>
            <w:shd w:val="clear" w:fill="EAF1FB"/>
          </w:tcPr>
          <w:p>
            <w:pPr>
              <w:jc w:val="center"/>
            </w:pPr>
            <w:r/>
            <w:r>
              <w:rPr>
                <w:rFonts w:ascii="微软雅黑" w:hAnsi="微软雅黑" w:eastAsia="微软雅黑"/>
                <w:b w:val="0"/>
                <w:i w:val="0"/>
                <w:color w:val="202833"/>
                <w:sz w:val="20"/>
              </w:rPr>
              <w:t>8.63亿元</w:t>
            </w:r>
          </w:p>
        </w:tc>
        <w:tc>
          <w:tcPr>
            <w:tcW w:type="dxa" w:w="3324"/>
            <w:vAlign w:val="center"/>
            <w:shd w:val="clear" w:fill="EAF1FB"/>
          </w:tcPr>
          <w:p>
            <w:pPr>
              <w:jc w:val="center"/>
            </w:pPr>
            <w:r/>
            <w:r>
              <w:rPr>
                <w:rFonts w:ascii="微软雅黑" w:hAnsi="微软雅黑" w:eastAsia="微软雅黑"/>
                <w:b w:val="0"/>
                <w:i w:val="0"/>
                <w:color w:val="202833"/>
                <w:sz w:val="20"/>
              </w:rPr>
              <w:t>+32.6%</w:t>
            </w:r>
          </w:p>
        </w:tc>
      </w:tr>
      <w:tr>
        <w:tc>
          <w:tcPr>
            <w:tcW w:type="dxa" w:w="3324"/>
            <w:vAlign w:val="center"/>
          </w:tcPr>
          <w:p>
            <w:pPr>
              <w:jc w:val="center"/>
            </w:pPr>
            <w:r/>
            <w:r>
              <w:rPr>
                <w:rFonts w:ascii="微软雅黑" w:hAnsi="微软雅黑" w:eastAsia="微软雅黑"/>
                <w:b w:val="0"/>
                <w:i w:val="0"/>
                <w:color w:val="202833"/>
                <w:sz w:val="20"/>
              </w:rPr>
              <w:t>平均MAU</w:t>
            </w:r>
          </w:p>
        </w:tc>
        <w:tc>
          <w:tcPr>
            <w:tcW w:type="dxa" w:w="3324"/>
            <w:vAlign w:val="center"/>
          </w:tcPr>
          <w:p>
            <w:pPr>
              <w:jc w:val="center"/>
            </w:pPr>
            <w:r/>
            <w:r>
              <w:rPr>
                <w:rFonts w:ascii="微软雅黑" w:hAnsi="微软雅黑" w:eastAsia="微软雅黑"/>
                <w:b w:val="0"/>
                <w:i w:val="0"/>
                <w:color w:val="202833"/>
                <w:sz w:val="20"/>
              </w:rPr>
              <w:t>突破7000万</w:t>
            </w:r>
          </w:p>
        </w:tc>
        <w:tc>
          <w:tcPr>
            <w:tcW w:type="dxa" w:w="3324"/>
            <w:vAlign w:val="center"/>
          </w:tcPr>
          <w:p>
            <w:pPr>
              <w:jc w:val="center"/>
            </w:pPr>
            <w:r/>
            <w:r>
              <w:rPr>
                <w:rFonts w:ascii="微软雅黑" w:hAnsi="微软雅黑" w:eastAsia="微软雅黑"/>
                <w:b w:val="0"/>
                <w:i w:val="0"/>
                <w:color w:val="202833"/>
                <w:sz w:val="20"/>
              </w:rPr>
              <w:t>+10.4%</w:t>
            </w:r>
          </w:p>
        </w:tc>
      </w:tr>
      <w:tr>
        <w:tc>
          <w:tcPr>
            <w:tcW w:type="dxa" w:w="3324"/>
            <w:vAlign w:val="center"/>
            <w:shd w:val="clear" w:fill="EAF1FB"/>
          </w:tcPr>
          <w:p>
            <w:pPr>
              <w:jc w:val="center"/>
            </w:pPr>
            <w:r/>
            <w:r>
              <w:rPr>
                <w:rFonts w:ascii="微软雅黑" w:hAnsi="微软雅黑" w:eastAsia="微软雅黑"/>
                <w:b w:val="0"/>
                <w:i w:val="0"/>
                <w:color w:val="202833"/>
                <w:sz w:val="20"/>
              </w:rPr>
              <w:t>股东回报</w:t>
            </w:r>
          </w:p>
        </w:tc>
        <w:tc>
          <w:tcPr>
            <w:tcW w:type="dxa" w:w="3324"/>
            <w:vAlign w:val="center"/>
            <w:shd w:val="clear" w:fill="EAF1FB"/>
          </w:tcPr>
          <w:p>
            <w:pPr>
              <w:jc w:val="center"/>
            </w:pPr>
            <w:r/>
            <w:r>
              <w:rPr>
                <w:rFonts w:ascii="微软雅黑" w:hAnsi="微软雅黑" w:eastAsia="微软雅黑"/>
                <w:b w:val="0"/>
                <w:i w:val="0"/>
                <w:color w:val="202833"/>
                <w:sz w:val="20"/>
              </w:rPr>
              <w:t>2.3亿美元派息</w:t>
            </w:r>
          </w:p>
        </w:tc>
        <w:tc>
          <w:tcPr>
            <w:tcW w:type="dxa" w:w="3324"/>
            <w:vAlign w:val="center"/>
            <w:shd w:val="clear" w:fill="EAF1FB"/>
          </w:tcPr>
          <w:p>
            <w:pPr>
              <w:jc w:val="center"/>
            </w:pPr>
            <w:r/>
            <w:r>
              <w:rPr>
                <w:rFonts w:ascii="微软雅黑" w:hAnsi="微软雅黑" w:eastAsia="微软雅黑"/>
                <w:b w:val="0"/>
                <w:i w:val="0"/>
                <w:color w:val="202833"/>
                <w:sz w:val="20"/>
              </w:rPr>
              <w:t>年内回报超上年经调整净利100%</w:t>
            </w:r>
          </w:p>
        </w:tc>
      </w:tr>
    </w:tbl>
    <w:p>
      <w:pPr>
        <w:spacing w:after="40"/>
      </w:pP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同道猎聘认购1亿元结构性存款，前程无忧以AI重构校招</w:t>
      </w:r>
    </w:p>
    <w:p>
      <w:pPr>
        <w:spacing w:after="140" w:before="0" w:line="312" w:lineRule="auto"/>
        <w:ind w:left="113"/>
      </w:pPr>
      <w:r>
        <w:rPr>
          <w:rFonts w:ascii="微软雅黑" w:hAnsi="微软雅黑" w:eastAsia="微软雅黑"/>
          <w:b w:val="0"/>
          <w:i w:val="0"/>
          <w:color w:val="202833"/>
          <w:sz w:val="22"/>
        </w:rPr>
        <w:t>同道猎聘（06100.HK）8月31日披露须予披露交易：全资附属公司同道精英（天津）认购杭州银行‘添利宝’结构性存款产品本金1亿元人民币，期限27天，保本保最低收益，预期年化收益率0.45%—2.25%。公司表示此举有利于提高闲置资金使用效率，在保障安全性与流动性前提下提升收益。在线招聘上市公司加大现金管理力度，也反映出行业进入‘精细化运营、现金为王’阶段。</w:t>
      </w:r>
    </w:p>
    <w:p>
      <w:pPr>
        <w:spacing w:after="140" w:before="0" w:line="312" w:lineRule="auto"/>
        <w:ind w:left="113"/>
      </w:pPr>
      <w:r>
        <w:rPr>
          <w:rFonts w:ascii="微软雅黑" w:hAnsi="微软雅黑" w:eastAsia="微软雅黑"/>
          <w:b w:val="0"/>
          <w:i w:val="0"/>
          <w:color w:val="202833"/>
          <w:sz w:val="22"/>
        </w:rPr>
        <w:t>校园招聘赛道方面，前程无忧以‘数智进化、全域智连’为主题推进2026校园招聘AI化：从简历解析、智能匹配到面试评估全流程嵌入AI能力。业内观察认为，随着秋招季来临，AI能力正从招聘平台的‘加分项’变成‘分水岭’。</w:t>
      </w:r>
    </w:p>
    <w:p>
      <w:pPr>
        <w:spacing w:after="140" w:before="0" w:line="312" w:lineRule="auto"/>
        <w:ind w:left="113"/>
      </w:pPr>
      <w:r>
        <w:rPr>
          <w:rFonts w:ascii="微软雅黑" w:hAnsi="微软雅黑" w:eastAsia="微软雅黑"/>
          <w:b w:val="0"/>
          <w:i w:val="0"/>
          <w:color w:val="202833"/>
          <w:sz w:val="22"/>
        </w:rPr>
        <w:t>值得注意的是，常州星宇股份在‘劝退’事件后，于智联招聘、前程无忧、BOSS直聘等主流平台均暂停了正式岗位的招聘信息，仅保留外包小时工招聘——在线招聘平台上的企业行为，正成为观察企业用工健康度与雇主品牌的新窗口。</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在线招聘头部平台进入‘盈利释放期’：BOSS直聘利润增速远超收入增速，叠加高额股东回报，行业商业模式趋于成熟；AI与蓝领下沉市场构成两大增长引擎。</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‘柴达木枸杞采摘’劳务品牌带动超10万人增收，劳务品牌建设提速</w:t>
      </w:r>
    </w:p>
    <w:p>
      <w:pPr>
        <w:spacing w:after="140" w:before="0" w:line="312" w:lineRule="auto"/>
        <w:ind w:left="113"/>
      </w:pPr>
      <w:r>
        <w:rPr>
          <w:rFonts w:ascii="微软雅黑" w:hAnsi="微软雅黑" w:eastAsia="微软雅黑"/>
          <w:b w:val="0"/>
          <w:i w:val="0"/>
          <w:color w:val="202833"/>
          <w:sz w:val="22"/>
        </w:rPr>
        <w:t>据中新网9月3日报道，青海省人社厅消息显示，今年青海柴达木枸杞种植面积达45.47万亩，品牌价值196.75亿元，全年头茬、二茬、三茬采摘期累计用工预计超10万人次。青海人社部门做强‘柴达木枸杞采摘’劳务品牌，把特色产业和就业增收绑定，联动甘肃、宁夏、四川等地开展跨区域劳务协作，通过‘点对点’专车输送务工人员直达田间地头。</w:t>
      </w:r>
    </w:p>
    <w:p>
      <w:pPr>
        <w:spacing w:after="140" w:before="0" w:line="312" w:lineRule="auto"/>
        <w:ind w:left="113"/>
      </w:pPr>
      <w:r>
        <w:rPr>
          <w:rFonts w:ascii="微软雅黑" w:hAnsi="微软雅黑" w:eastAsia="微软雅黑"/>
          <w:b w:val="0"/>
          <w:i w:val="0"/>
          <w:color w:val="202833"/>
          <w:sz w:val="22"/>
        </w:rPr>
        <w:t>政策层面，青海省级每年安排500万元专项经费扶持劳务品牌建设，对认定品牌给予补贴奖励；同步开展种植、采摘、销售全链条技能培训，已有9000多人取得枸杞采销专项能力证书，务工队伍专业化水平持续提升。人社部门还常态化整治违规中介、调处劳务报酬纠纷，维护劳务市场秩序。</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一案例折射出劳务经济升级的清晰路径：从‘体力型’粗放输出转向‘品牌化+技能化+组织化’。结合‘十五五’规划关于提升劳务输出组织化程度的部署，劳务品牌正从就业帮扶工具升级为区域产业竞争力的一部分。</w:t>
      </w:r>
    </w:p>
    <w:tbl>
      <w:tblPr>
        <w:tblW w:type="auto" w:w="0"/>
        <w:jc w:val="center"/>
        <w:tblLook w:firstColumn="1" w:firstRow="1" w:lastColumn="0" w:lastRow="0" w:noHBand="0" w:noVBand="1" w:val="04A0"/>
      </w:tblPr>
      <w:tblGrid>
        <w:gridCol w:w="3324"/>
        <w:gridCol w:w="3324"/>
        <w:gridCol w:w="3324"/>
      </w:tblGrid>
      <w:tr>
        <w:tc>
          <w:tcPr>
            <w:tcW w:type="dxa" w:w="3324"/>
            <w:vAlign w:val="center"/>
            <w:shd w:val="clear" w:fill="0F2452"/>
          </w:tcPr>
          <w:p>
            <w:pPr>
              <w:jc w:val="center"/>
            </w:pPr>
            <w:r/>
            <w:r>
              <w:rPr>
                <w:rFonts w:ascii="微软雅黑" w:hAnsi="微软雅黑" w:eastAsia="微软雅黑"/>
                <w:b/>
                <w:i w:val="0"/>
                <w:color w:val="FFFFFF"/>
                <w:sz w:val="21"/>
              </w:rPr>
              <w:t>指标</w:t>
            </w:r>
          </w:p>
        </w:tc>
        <w:tc>
          <w:tcPr>
            <w:tcW w:type="dxa" w:w="3324"/>
            <w:vAlign w:val="center"/>
            <w:shd w:val="clear" w:fill="0F2452"/>
          </w:tcPr>
          <w:p>
            <w:pPr>
              <w:jc w:val="center"/>
            </w:pPr>
            <w:r/>
            <w:r>
              <w:rPr>
                <w:rFonts w:ascii="微软雅黑" w:hAnsi="微软雅黑" w:eastAsia="微软雅黑"/>
                <w:b/>
                <w:i w:val="0"/>
                <w:color w:val="FFFFFF"/>
                <w:sz w:val="21"/>
              </w:rPr>
              <w:t>数据</w:t>
            </w:r>
          </w:p>
        </w:tc>
        <w:tc>
          <w:tcPr>
            <w:tcW w:type="dxa" w:w="3324"/>
            <w:vAlign w:val="center"/>
            <w:shd w:val="clear" w:fill="0F2452"/>
          </w:tcPr>
          <w:p>
            <w:pPr>
              <w:jc w:val="center"/>
            </w:pPr>
            <w:r/>
            <w:r>
              <w:rPr>
                <w:rFonts w:ascii="微软雅黑" w:hAnsi="微软雅黑" w:eastAsia="微软雅黑"/>
                <w:b/>
                <w:i w:val="0"/>
                <w:color w:val="FFFFFF"/>
                <w:sz w:val="21"/>
              </w:rPr>
              <w:t>说明</w:t>
            </w:r>
          </w:p>
        </w:tc>
      </w:tr>
      <w:tr>
        <w:tc>
          <w:tcPr>
            <w:tcW w:type="dxa" w:w="3324"/>
            <w:vAlign w:val="center"/>
          </w:tcPr>
          <w:p>
            <w:pPr>
              <w:jc w:val="center"/>
            </w:pPr>
            <w:r/>
            <w:r>
              <w:rPr>
                <w:rFonts w:ascii="微软雅黑" w:hAnsi="微软雅黑" w:eastAsia="微软雅黑"/>
                <w:b w:val="0"/>
                <w:i w:val="0"/>
                <w:color w:val="202833"/>
                <w:sz w:val="20"/>
              </w:rPr>
              <w:t>枸杞种植面积</w:t>
            </w:r>
          </w:p>
        </w:tc>
        <w:tc>
          <w:tcPr>
            <w:tcW w:type="dxa" w:w="3324"/>
            <w:vAlign w:val="center"/>
          </w:tcPr>
          <w:p>
            <w:pPr>
              <w:jc w:val="center"/>
            </w:pPr>
            <w:r/>
            <w:r>
              <w:rPr>
                <w:rFonts w:ascii="微软雅黑" w:hAnsi="微软雅黑" w:eastAsia="微软雅黑"/>
                <w:b w:val="0"/>
                <w:i w:val="0"/>
                <w:color w:val="202833"/>
                <w:sz w:val="20"/>
              </w:rPr>
              <w:t>45.47万亩</w:t>
            </w:r>
          </w:p>
        </w:tc>
        <w:tc>
          <w:tcPr>
            <w:tcW w:type="dxa" w:w="3324"/>
            <w:vAlign w:val="center"/>
          </w:tcPr>
          <w:p>
            <w:pPr>
              <w:jc w:val="center"/>
            </w:pPr>
            <w:r/>
            <w:r>
              <w:rPr>
                <w:rFonts w:ascii="微软雅黑" w:hAnsi="微软雅黑" w:eastAsia="微软雅黑"/>
                <w:b w:val="0"/>
                <w:i w:val="0"/>
                <w:color w:val="202833"/>
                <w:sz w:val="20"/>
              </w:rPr>
              <w:t>品牌价值196.75亿元</w:t>
            </w:r>
          </w:p>
        </w:tc>
      </w:tr>
      <w:tr>
        <w:tc>
          <w:tcPr>
            <w:tcW w:type="dxa" w:w="3324"/>
            <w:vAlign w:val="center"/>
            <w:shd w:val="clear" w:fill="EAF1FB"/>
          </w:tcPr>
          <w:p>
            <w:pPr>
              <w:jc w:val="center"/>
            </w:pPr>
            <w:r/>
            <w:r>
              <w:rPr>
                <w:rFonts w:ascii="微软雅黑" w:hAnsi="微软雅黑" w:eastAsia="微软雅黑"/>
                <w:b w:val="0"/>
                <w:i w:val="0"/>
                <w:color w:val="202833"/>
                <w:sz w:val="20"/>
              </w:rPr>
              <w:t>季节性用工</w:t>
            </w:r>
          </w:p>
        </w:tc>
        <w:tc>
          <w:tcPr>
            <w:tcW w:type="dxa" w:w="3324"/>
            <w:vAlign w:val="center"/>
            <w:shd w:val="clear" w:fill="EAF1FB"/>
          </w:tcPr>
          <w:p>
            <w:pPr>
              <w:jc w:val="center"/>
            </w:pPr>
            <w:r/>
            <w:r>
              <w:rPr>
                <w:rFonts w:ascii="微软雅黑" w:hAnsi="微软雅黑" w:eastAsia="微软雅黑"/>
                <w:b w:val="0"/>
                <w:i w:val="0"/>
                <w:color w:val="202833"/>
                <w:sz w:val="20"/>
              </w:rPr>
              <w:t>超10万人次</w:t>
            </w:r>
          </w:p>
        </w:tc>
        <w:tc>
          <w:tcPr>
            <w:tcW w:type="dxa" w:w="3324"/>
            <w:vAlign w:val="center"/>
            <w:shd w:val="clear" w:fill="EAF1FB"/>
          </w:tcPr>
          <w:p>
            <w:pPr>
              <w:jc w:val="center"/>
            </w:pPr>
            <w:r/>
            <w:r>
              <w:rPr>
                <w:rFonts w:ascii="微软雅黑" w:hAnsi="微软雅黑" w:eastAsia="微软雅黑"/>
                <w:b w:val="0"/>
                <w:i w:val="0"/>
                <w:color w:val="202833"/>
                <w:sz w:val="20"/>
              </w:rPr>
              <w:t>三省联动跨区域协作</w:t>
            </w:r>
          </w:p>
        </w:tc>
      </w:tr>
      <w:tr>
        <w:tc>
          <w:tcPr>
            <w:tcW w:type="dxa" w:w="3324"/>
            <w:vAlign w:val="center"/>
          </w:tcPr>
          <w:p>
            <w:pPr>
              <w:jc w:val="center"/>
            </w:pPr>
            <w:r/>
            <w:r>
              <w:rPr>
                <w:rFonts w:ascii="微软雅黑" w:hAnsi="微软雅黑" w:eastAsia="微软雅黑"/>
                <w:b w:val="0"/>
                <w:i w:val="0"/>
                <w:color w:val="202833"/>
                <w:sz w:val="20"/>
              </w:rPr>
              <w:t>专项扶持</w:t>
            </w:r>
          </w:p>
        </w:tc>
        <w:tc>
          <w:tcPr>
            <w:tcW w:type="dxa" w:w="3324"/>
            <w:vAlign w:val="center"/>
          </w:tcPr>
          <w:p>
            <w:pPr>
              <w:jc w:val="center"/>
            </w:pPr>
            <w:r/>
            <w:r>
              <w:rPr>
                <w:rFonts w:ascii="微软雅黑" w:hAnsi="微软雅黑" w:eastAsia="微软雅黑"/>
                <w:b w:val="0"/>
                <w:i w:val="0"/>
                <w:color w:val="202833"/>
                <w:sz w:val="20"/>
              </w:rPr>
              <w:t>500万元/年</w:t>
            </w:r>
          </w:p>
        </w:tc>
        <w:tc>
          <w:tcPr>
            <w:tcW w:type="dxa" w:w="3324"/>
            <w:vAlign w:val="center"/>
          </w:tcPr>
          <w:p>
            <w:pPr>
              <w:jc w:val="center"/>
            </w:pPr>
            <w:r/>
            <w:r>
              <w:rPr>
                <w:rFonts w:ascii="微软雅黑" w:hAnsi="微软雅黑" w:eastAsia="微软雅黑"/>
                <w:b w:val="0"/>
                <w:i w:val="0"/>
                <w:color w:val="202833"/>
                <w:sz w:val="20"/>
              </w:rPr>
              <w:t>品牌认定补贴奖励</w:t>
            </w:r>
          </w:p>
        </w:tc>
      </w:tr>
      <w:tr>
        <w:tc>
          <w:tcPr>
            <w:tcW w:type="dxa" w:w="3324"/>
            <w:vAlign w:val="center"/>
            <w:shd w:val="clear" w:fill="EAF1FB"/>
          </w:tcPr>
          <w:p>
            <w:pPr>
              <w:jc w:val="center"/>
            </w:pPr>
            <w:r/>
            <w:r>
              <w:rPr>
                <w:rFonts w:ascii="微软雅黑" w:hAnsi="微软雅黑" w:eastAsia="微软雅黑"/>
                <w:b w:val="0"/>
                <w:i w:val="0"/>
                <w:color w:val="202833"/>
                <w:sz w:val="20"/>
              </w:rPr>
              <w:t>持证务工人员</w:t>
            </w:r>
          </w:p>
        </w:tc>
        <w:tc>
          <w:tcPr>
            <w:tcW w:type="dxa" w:w="3324"/>
            <w:vAlign w:val="center"/>
            <w:shd w:val="clear" w:fill="EAF1FB"/>
          </w:tcPr>
          <w:p>
            <w:pPr>
              <w:jc w:val="center"/>
            </w:pPr>
            <w:r/>
            <w:r>
              <w:rPr>
                <w:rFonts w:ascii="微软雅黑" w:hAnsi="微软雅黑" w:eastAsia="微软雅黑"/>
                <w:b w:val="0"/>
                <w:i w:val="0"/>
                <w:color w:val="202833"/>
                <w:sz w:val="20"/>
              </w:rPr>
              <w:t>超9000人</w:t>
            </w:r>
          </w:p>
        </w:tc>
        <w:tc>
          <w:tcPr>
            <w:tcW w:type="dxa" w:w="3324"/>
            <w:vAlign w:val="center"/>
            <w:shd w:val="clear" w:fill="EAF1FB"/>
          </w:tcPr>
          <w:p>
            <w:pPr>
              <w:jc w:val="center"/>
            </w:pPr>
            <w:r/>
            <w:r>
              <w:rPr>
                <w:rFonts w:ascii="微软雅黑" w:hAnsi="微软雅黑" w:eastAsia="微软雅黑"/>
                <w:b w:val="0"/>
                <w:i w:val="0"/>
                <w:color w:val="202833"/>
                <w:sz w:val="20"/>
              </w:rPr>
              <w:t>采销专项能力证书</w:t>
            </w:r>
          </w:p>
        </w:tc>
      </w:tr>
    </w:tbl>
    <w:p>
      <w:pPr>
        <w:spacing w:after="40"/>
      </w:pP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粤桂家政劳务协作提效，产教协同出海新平台启动</w:t>
      </w:r>
    </w:p>
    <w:p>
      <w:pPr>
        <w:spacing w:after="140" w:before="0" w:line="312" w:lineRule="auto"/>
        <w:ind w:left="113"/>
      </w:pPr>
      <w:r>
        <w:rPr>
          <w:rFonts w:ascii="微软雅黑" w:hAnsi="微软雅黑" w:eastAsia="微软雅黑"/>
          <w:b w:val="0"/>
          <w:i w:val="0"/>
          <w:color w:val="202833"/>
          <w:sz w:val="22"/>
        </w:rPr>
        <w:t>劳务协作与人才出海呈现多点开花态势：据中新网8月29日报道，广西推动提升粤桂家政劳务协作供需匹配效率，通过订单式培训、定向输送等方式对接粤港澳大湾区家政市场需求，家政劳务品牌跨区域协作走向精细化。</w:t>
      </w:r>
    </w:p>
    <w:p>
      <w:pPr>
        <w:spacing w:after="140" w:before="0" w:line="312" w:lineRule="auto"/>
        <w:ind w:left="113"/>
      </w:pPr>
      <w:r>
        <w:rPr>
          <w:rFonts w:ascii="微软雅黑" w:hAnsi="微软雅黑" w:eastAsia="微软雅黑"/>
          <w:b w:val="0"/>
          <w:i w:val="0"/>
          <w:color w:val="202833"/>
          <w:sz w:val="22"/>
        </w:rPr>
        <w:t>出海维度，9月1日‘2026首届丝路远航产教协同出海国际合作峰会’新闻发布会暨招商说明会举行，聚焦产教协同与人才出海，探索院校、企业与海外用工市场之间的衔接机制，为中资企业海外项目输送技能人才提供新通道。</w:t>
      </w:r>
    </w:p>
    <w:p>
      <w:pPr>
        <w:spacing w:after="140" w:before="0" w:line="312" w:lineRule="auto"/>
        <w:ind w:left="113"/>
      </w:pPr>
      <w:r>
        <w:rPr>
          <w:rFonts w:ascii="微软雅黑" w:hAnsi="微软雅黑" w:eastAsia="微软雅黑"/>
          <w:b w:val="0"/>
          <w:i w:val="0"/>
          <w:color w:val="202833"/>
          <w:sz w:val="22"/>
        </w:rPr>
        <w:t>从风险端看，境外高薪招聘骗局仍是监管提示重点。此前多部门联合提示‘境外高薪诱骗’求职陷阱，正规对外劳务合作企业名单制度（如四川、盐城等地按月/按批次公示）持续运行，劳务人员输出前培训与权益保障被置于更前置的位置。</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出国劳务与劳务协作的内涵正在被重写：国内劳务品牌向‘技能+品牌’升级，跨境人才输出向‘产教协同+合规化’演进，组织化、品牌化、权益前置化是三大确定性方向。</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金华试点‘等灯不计时’：外卖平台算法规则迎来人性化调整</w:t>
      </w:r>
    </w:p>
    <w:p>
      <w:pPr>
        <w:spacing w:after="140" w:before="0" w:line="312" w:lineRule="auto"/>
        <w:ind w:left="113"/>
      </w:pPr>
      <w:r>
        <w:rPr>
          <w:rFonts w:ascii="微软雅黑" w:hAnsi="微软雅黑" w:eastAsia="微软雅黑"/>
          <w:b w:val="0"/>
          <w:i w:val="0"/>
          <w:color w:val="202833"/>
          <w:sz w:val="22"/>
        </w:rPr>
        <w:t>据中新网9月1日报道，浙江金华市公安局与外卖平台联合举行外卖骑手‘等灯不计时’试点暨智能安全装备投放仪式。平台智能系统可自动识别骑手在信号灯路口的停车等候状态，累计红灯等待时间并在订单考核时自动顺延——骑手不再需要在配送时效与交通规则之间‘二选一’。目前该机制已覆盖金东区所有信号灯控路口。</w:t>
      </w:r>
    </w:p>
    <w:p>
      <w:pPr>
        <w:spacing w:after="140" w:before="0" w:line="312" w:lineRule="auto"/>
        <w:ind w:left="113"/>
      </w:pPr>
      <w:r>
        <w:rPr>
          <w:rFonts w:ascii="微软雅黑" w:hAnsi="微软雅黑" w:eastAsia="微软雅黑"/>
          <w:b w:val="0"/>
          <w:i w:val="0"/>
          <w:color w:val="202833"/>
          <w:sz w:val="22"/>
        </w:rPr>
        <w:t>试点同步发放智能头盔X3、智能尾灯、智能手环等安全装备：头盔具备碰撞、姿态检测与异常预警功能；尾灯支持刹车感应、雷达预警、弯道侦测；手环可监测心率血氧并根据身体状态分级提醒，必要时触发强制休息提示。</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算时间’到‘算安全’，金华试点是平台算法治理的标杆性动作。此前全总‘十五五’规划已提出推动平台企业算法与劳动规则集体协商，‘等灯不计时’表明算法向善正从政策倡导走向产品落地，预计将成为更多城市的标配。</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成都西南首个独栋骑手公寓投运，杭州为骑手提供8000份免费午餐</w:t>
      </w:r>
    </w:p>
    <w:p>
      <w:pPr>
        <w:spacing w:after="140" w:before="0" w:line="312" w:lineRule="auto"/>
        <w:ind w:left="113"/>
      </w:pPr>
      <w:r>
        <w:rPr>
          <w:rFonts w:ascii="微软雅黑" w:hAnsi="微软雅黑" w:eastAsia="微软雅黑"/>
          <w:b w:val="0"/>
          <w:i w:val="0"/>
          <w:color w:val="202833"/>
          <w:sz w:val="22"/>
        </w:rPr>
        <w:t>8月31日，成都住建局会同金牛区、美团打造的‘交子菁寓·骑手公寓’迎来首批骑手集中签约入住，超100人签约，出租率92%。该项目为西南区域首个独栋式保障性租赁住房骑手公寓：原为上世纪70年代造纸厂职工宿舍，经改造提供108间、140个床位，租金按市场评估价9折执行，配备电瓶车换电设备、共享厨房、解压室等，并创新‘保租房+暖心驿站’融合模式，提供就业服务、法律咨询、心理疏导等功能。</w:t>
      </w:r>
    </w:p>
    <w:p>
      <w:pPr>
        <w:spacing w:after="140" w:before="0" w:line="312" w:lineRule="auto"/>
        <w:ind w:left="113"/>
      </w:pPr>
      <w:r>
        <w:rPr>
          <w:rFonts w:ascii="微软雅黑" w:hAnsi="微软雅黑" w:eastAsia="微软雅黑"/>
          <w:b w:val="0"/>
          <w:i w:val="0"/>
          <w:color w:val="202833"/>
          <w:sz w:val="22"/>
        </w:rPr>
        <w:t>据披露，成都已累计筹集‘一张床、一间房’项目39个、房源8600余张（间），约7000名新就业群体实现安居。同日，杭州一社区食堂宣布为外卖骑手提供8000份免费午餐（中新网9月1日报道），各地对骑手等新就业群体的关怀从‘送温暖’走向‘制度化供给’。</w:t>
      </w:r>
    </w:p>
    <w:p>
      <w:pPr>
        <w:spacing w:after="140" w:before="0" w:line="312" w:lineRule="auto"/>
        <w:ind w:left="113"/>
      </w:pPr>
      <w:r>
        <w:rPr>
          <w:rFonts w:ascii="微软雅黑" w:hAnsi="微软雅黑" w:eastAsia="微软雅黑"/>
          <w:b w:val="0"/>
          <w:i w:val="0"/>
          <w:color w:val="202833"/>
          <w:sz w:val="22"/>
        </w:rPr>
        <w:t>保障制度层面，山东此前已将215.8万新就业形态人员纳入保障范围；扬州欠薪线索反映平台上线的消息（9月3日）亦显示，劳动权益保障数字化通道正在各地铺开。灵活用工群体的居住、餐饮、保障、维权各环节均出现系统性改善信号。</w:t>
      </w:r>
    </w:p>
    <w:tbl>
      <w:tblPr>
        <w:tblW w:type="auto" w:w="0"/>
        <w:jc w:val="center"/>
        <w:tblLook w:firstColumn="1" w:firstRow="1" w:lastColumn="0" w:lastRow="0" w:noHBand="0" w:noVBand="1" w:val="04A0"/>
      </w:tblPr>
      <w:tblGrid>
        <w:gridCol w:w="3324"/>
        <w:gridCol w:w="3324"/>
        <w:gridCol w:w="3324"/>
      </w:tblGrid>
      <w:tr>
        <w:tc>
          <w:tcPr>
            <w:tcW w:type="dxa" w:w="3324"/>
            <w:vAlign w:val="center"/>
            <w:shd w:val="clear" w:fill="0F2452"/>
          </w:tcPr>
          <w:p>
            <w:pPr>
              <w:jc w:val="center"/>
            </w:pPr>
            <w:r/>
            <w:r>
              <w:rPr>
                <w:rFonts w:ascii="微软雅黑" w:hAnsi="微软雅黑" w:eastAsia="微软雅黑"/>
                <w:b/>
                <w:i w:val="0"/>
                <w:color w:val="FFFFFF"/>
                <w:sz w:val="21"/>
              </w:rPr>
              <w:t>城市/项目</w:t>
            </w:r>
          </w:p>
        </w:tc>
        <w:tc>
          <w:tcPr>
            <w:tcW w:type="dxa" w:w="3324"/>
            <w:vAlign w:val="center"/>
            <w:shd w:val="clear" w:fill="0F2452"/>
          </w:tcPr>
          <w:p>
            <w:pPr>
              <w:jc w:val="center"/>
            </w:pPr>
            <w:r/>
            <w:r>
              <w:rPr>
                <w:rFonts w:ascii="微软雅黑" w:hAnsi="微软雅黑" w:eastAsia="微软雅黑"/>
                <w:b/>
                <w:i w:val="0"/>
                <w:color w:val="FFFFFF"/>
                <w:sz w:val="21"/>
              </w:rPr>
              <w:t>举措</w:t>
            </w:r>
          </w:p>
        </w:tc>
        <w:tc>
          <w:tcPr>
            <w:tcW w:type="dxa" w:w="3324"/>
            <w:vAlign w:val="center"/>
            <w:shd w:val="clear" w:fill="0F2452"/>
          </w:tcPr>
          <w:p>
            <w:pPr>
              <w:jc w:val="center"/>
            </w:pPr>
            <w:r/>
            <w:r>
              <w:rPr>
                <w:rFonts w:ascii="微软雅黑" w:hAnsi="微软雅黑" w:eastAsia="微软雅黑"/>
                <w:b/>
                <w:i w:val="0"/>
                <w:color w:val="FFFFFF"/>
                <w:sz w:val="21"/>
              </w:rPr>
              <w:t>覆盖规模</w:t>
            </w:r>
          </w:p>
        </w:tc>
      </w:tr>
      <w:tr>
        <w:tc>
          <w:tcPr>
            <w:tcW w:type="dxa" w:w="3324"/>
            <w:vAlign w:val="center"/>
          </w:tcPr>
          <w:p>
            <w:pPr>
              <w:jc w:val="center"/>
            </w:pPr>
            <w:r/>
            <w:r>
              <w:rPr>
                <w:rFonts w:ascii="微软雅黑" w:hAnsi="微软雅黑" w:eastAsia="微软雅黑"/>
                <w:b w:val="0"/>
                <w:i w:val="0"/>
                <w:color w:val="202833"/>
                <w:sz w:val="20"/>
              </w:rPr>
              <w:t>成都·骑手公寓</w:t>
            </w:r>
          </w:p>
        </w:tc>
        <w:tc>
          <w:tcPr>
            <w:tcW w:type="dxa" w:w="3324"/>
            <w:vAlign w:val="center"/>
          </w:tcPr>
          <w:p>
            <w:pPr>
              <w:jc w:val="center"/>
            </w:pPr>
            <w:r/>
            <w:r>
              <w:rPr>
                <w:rFonts w:ascii="微软雅黑" w:hAnsi="微软雅黑" w:eastAsia="微软雅黑"/>
                <w:b w:val="0"/>
                <w:i w:val="0"/>
                <w:color w:val="202833"/>
                <w:sz w:val="20"/>
              </w:rPr>
              <w:t>保租房+暖心驿站，租金9折</w:t>
            </w:r>
          </w:p>
        </w:tc>
        <w:tc>
          <w:tcPr>
            <w:tcW w:type="dxa" w:w="3324"/>
            <w:vAlign w:val="center"/>
          </w:tcPr>
          <w:p>
            <w:pPr>
              <w:jc w:val="center"/>
            </w:pPr>
            <w:r/>
            <w:r>
              <w:rPr>
                <w:rFonts w:ascii="微软雅黑" w:hAnsi="微软雅黑" w:eastAsia="微软雅黑"/>
                <w:b w:val="0"/>
                <w:i w:val="0"/>
                <w:color w:val="202833"/>
                <w:sz w:val="20"/>
              </w:rPr>
              <w:t>首批超100人，出租率92%</w:t>
            </w:r>
          </w:p>
        </w:tc>
      </w:tr>
      <w:tr>
        <w:tc>
          <w:tcPr>
            <w:tcW w:type="dxa" w:w="3324"/>
            <w:vAlign w:val="center"/>
            <w:shd w:val="clear" w:fill="EAF1FB"/>
          </w:tcPr>
          <w:p>
            <w:pPr>
              <w:jc w:val="center"/>
            </w:pPr>
            <w:r/>
            <w:r>
              <w:rPr>
                <w:rFonts w:ascii="微软雅黑" w:hAnsi="微软雅黑" w:eastAsia="微软雅黑"/>
                <w:b w:val="0"/>
                <w:i w:val="0"/>
                <w:color w:val="202833"/>
                <w:sz w:val="20"/>
              </w:rPr>
              <w:t>杭州·社区食堂</w:t>
            </w:r>
          </w:p>
        </w:tc>
        <w:tc>
          <w:tcPr>
            <w:tcW w:type="dxa" w:w="3324"/>
            <w:vAlign w:val="center"/>
            <w:shd w:val="clear" w:fill="EAF1FB"/>
          </w:tcPr>
          <w:p>
            <w:pPr>
              <w:jc w:val="center"/>
            </w:pPr>
            <w:r/>
            <w:r>
              <w:rPr>
                <w:rFonts w:ascii="微软雅黑" w:hAnsi="微软雅黑" w:eastAsia="微软雅黑"/>
                <w:b w:val="0"/>
                <w:i w:val="0"/>
                <w:color w:val="202833"/>
                <w:sz w:val="20"/>
              </w:rPr>
              <w:t>为骑手提供免费午餐</w:t>
            </w:r>
          </w:p>
        </w:tc>
        <w:tc>
          <w:tcPr>
            <w:tcW w:type="dxa" w:w="3324"/>
            <w:vAlign w:val="center"/>
            <w:shd w:val="clear" w:fill="EAF1FB"/>
          </w:tcPr>
          <w:p>
            <w:pPr>
              <w:jc w:val="center"/>
            </w:pPr>
            <w:r/>
            <w:r>
              <w:rPr>
                <w:rFonts w:ascii="微软雅黑" w:hAnsi="微软雅黑" w:eastAsia="微软雅黑"/>
                <w:b w:val="0"/>
                <w:i w:val="0"/>
                <w:color w:val="202833"/>
                <w:sz w:val="20"/>
              </w:rPr>
              <w:t>8000份</w:t>
            </w:r>
          </w:p>
        </w:tc>
      </w:tr>
      <w:tr>
        <w:tc>
          <w:tcPr>
            <w:tcW w:type="dxa" w:w="3324"/>
            <w:vAlign w:val="center"/>
          </w:tcPr>
          <w:p>
            <w:pPr>
              <w:jc w:val="center"/>
            </w:pPr>
            <w:r/>
            <w:r>
              <w:rPr>
                <w:rFonts w:ascii="微软雅黑" w:hAnsi="微软雅黑" w:eastAsia="微软雅黑"/>
                <w:b w:val="0"/>
                <w:i w:val="0"/>
                <w:color w:val="202833"/>
                <w:sz w:val="20"/>
              </w:rPr>
              <w:t>山东·权益保障</w:t>
            </w:r>
          </w:p>
        </w:tc>
        <w:tc>
          <w:tcPr>
            <w:tcW w:type="dxa" w:w="3324"/>
            <w:vAlign w:val="center"/>
          </w:tcPr>
          <w:p>
            <w:pPr>
              <w:jc w:val="center"/>
            </w:pPr>
            <w:r/>
            <w:r>
              <w:rPr>
                <w:rFonts w:ascii="微软雅黑" w:hAnsi="微软雅黑" w:eastAsia="微软雅黑"/>
                <w:b w:val="0"/>
                <w:i w:val="0"/>
                <w:color w:val="202833"/>
                <w:sz w:val="20"/>
              </w:rPr>
              <w:t>新就业形态人员保障</w:t>
            </w:r>
          </w:p>
        </w:tc>
        <w:tc>
          <w:tcPr>
            <w:tcW w:type="dxa" w:w="3324"/>
            <w:vAlign w:val="center"/>
          </w:tcPr>
          <w:p>
            <w:pPr>
              <w:jc w:val="center"/>
            </w:pPr>
            <w:r/>
            <w:r>
              <w:rPr>
                <w:rFonts w:ascii="微软雅黑" w:hAnsi="微软雅黑" w:eastAsia="微软雅黑"/>
                <w:b w:val="0"/>
                <w:i w:val="0"/>
                <w:color w:val="202833"/>
                <w:sz w:val="20"/>
              </w:rPr>
              <w:t>215.8万人纳入</w:t>
            </w:r>
          </w:p>
        </w:tc>
      </w:tr>
    </w:tbl>
    <w:p>
      <w:pPr>
        <w:spacing w:after="40"/>
      </w:pP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灵活用工治理进入‘算法规则+居住保障+职业伤害+维权通道’四维并进的深水区：平台算法开始让渡效率指标，城市公共服务主动适配新就业群体，灵活用工的‘体面劳动’内涵不断充实。</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科锐国际中报净利增19.72%，人力资源服务上市公司业绩分化</w:t>
      </w:r>
    </w:p>
    <w:p>
      <w:pPr>
        <w:spacing w:after="140" w:before="0" w:line="312" w:lineRule="auto"/>
        <w:ind w:left="113"/>
      </w:pPr>
      <w:r>
        <w:rPr>
          <w:rFonts w:ascii="微软雅黑" w:hAnsi="微软雅黑" w:eastAsia="微软雅黑"/>
          <w:b w:val="0"/>
          <w:i w:val="0"/>
          <w:color w:val="202833"/>
          <w:sz w:val="22"/>
        </w:rPr>
        <w:t>8月27日，A股人力资源服务龙头科锐国际发布半年度报告：实现营业收入81.19亿元，同比增长14.75%；归母净利润1.51亿元，同比增长19.72%；扣非净利润1.21亿元，同比增长25.81%，盈利质量明显改善。</w:t>
      </w:r>
    </w:p>
    <w:p>
      <w:pPr>
        <w:spacing w:after="140" w:before="0" w:line="312" w:lineRule="auto"/>
        <w:ind w:left="113"/>
      </w:pPr>
      <w:r>
        <w:rPr>
          <w:rFonts w:ascii="微软雅黑" w:hAnsi="微软雅黑" w:eastAsia="微软雅黑"/>
          <w:b w:val="0"/>
          <w:i w:val="0"/>
          <w:color w:val="202833"/>
          <w:sz w:val="22"/>
        </w:rPr>
        <w:t>在行业整体承压背景下，科锐国际的逆势增长印证了灵活用工与中高端人才寻访业务的韧性——其业务结构中，灵活用工、技术人才外包等弹性用工形态占比持续提升，契合企业‘降本增效+编制弹性化’的用人趋势。与之对照，同道猎聘等在线招聘平台则通过现金管理提升资金效率，两类公司的经营策略差异反映出人力资源行业不同赛道的分化。</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市公司财报显示的人力资源行业新信号：一是灵活用工渗透率仍在提升通道；二是技术类岗位外包成为增长最快的细分；三是头部公司现金流充裕、股东回报意识增强。资本对人力资源赛道的关注正从‘规模故事’转向‘盈利质量与合规能力’。</w:t>
      </w:r>
    </w:p>
    <w:tbl>
      <w:tblPr>
        <w:tblW w:type="auto" w:w="0"/>
        <w:jc w:val="center"/>
        <w:tblLook w:firstColumn="1" w:firstRow="1" w:lastColumn="0" w:lastRow="0" w:noHBand="0" w:noVBand="1" w:val="04A0"/>
      </w:tblPr>
      <w:tblGrid>
        <w:gridCol w:w="3324"/>
        <w:gridCol w:w="3324"/>
        <w:gridCol w:w="3324"/>
      </w:tblGrid>
      <w:tr>
        <w:tc>
          <w:tcPr>
            <w:tcW w:type="dxa" w:w="3324"/>
            <w:vAlign w:val="center"/>
            <w:shd w:val="clear" w:fill="0F2452"/>
          </w:tcPr>
          <w:p>
            <w:pPr>
              <w:jc w:val="center"/>
            </w:pPr>
            <w:r/>
            <w:r>
              <w:rPr>
                <w:rFonts w:ascii="微软雅黑" w:hAnsi="微软雅黑" w:eastAsia="微软雅黑"/>
                <w:b/>
                <w:i w:val="0"/>
                <w:color w:val="FFFFFF"/>
                <w:sz w:val="21"/>
              </w:rPr>
              <w:t>指标</w:t>
            </w:r>
          </w:p>
        </w:tc>
        <w:tc>
          <w:tcPr>
            <w:tcW w:type="dxa" w:w="3324"/>
            <w:vAlign w:val="center"/>
            <w:shd w:val="clear" w:fill="0F2452"/>
          </w:tcPr>
          <w:p>
            <w:pPr>
              <w:jc w:val="center"/>
            </w:pPr>
            <w:r/>
            <w:r>
              <w:rPr>
                <w:rFonts w:ascii="微软雅黑" w:hAnsi="微软雅黑" w:eastAsia="微软雅黑"/>
                <w:b/>
                <w:i w:val="0"/>
                <w:color w:val="FFFFFF"/>
                <w:sz w:val="21"/>
              </w:rPr>
              <w:t>2026H1数据</w:t>
            </w:r>
          </w:p>
        </w:tc>
        <w:tc>
          <w:tcPr>
            <w:tcW w:type="dxa" w:w="3324"/>
            <w:vAlign w:val="center"/>
            <w:shd w:val="clear" w:fill="0F2452"/>
          </w:tcPr>
          <w:p>
            <w:pPr>
              <w:jc w:val="center"/>
            </w:pPr>
            <w:r/>
            <w:r>
              <w:rPr>
                <w:rFonts w:ascii="微软雅黑" w:hAnsi="微软雅黑" w:eastAsia="微软雅黑"/>
                <w:b/>
                <w:i w:val="0"/>
                <w:color w:val="FFFFFF"/>
                <w:sz w:val="21"/>
              </w:rPr>
              <w:t>同比变化</w:t>
            </w:r>
          </w:p>
        </w:tc>
      </w:tr>
      <w:tr>
        <w:tc>
          <w:tcPr>
            <w:tcW w:type="dxa" w:w="3324"/>
            <w:vAlign w:val="center"/>
          </w:tcPr>
          <w:p>
            <w:pPr>
              <w:jc w:val="center"/>
            </w:pPr>
            <w:r/>
            <w:r>
              <w:rPr>
                <w:rFonts w:ascii="微软雅黑" w:hAnsi="微软雅黑" w:eastAsia="微软雅黑"/>
                <w:b w:val="0"/>
                <w:i w:val="0"/>
                <w:color w:val="202833"/>
                <w:sz w:val="20"/>
              </w:rPr>
              <w:t>营业收入</w:t>
            </w:r>
          </w:p>
        </w:tc>
        <w:tc>
          <w:tcPr>
            <w:tcW w:type="dxa" w:w="3324"/>
            <w:vAlign w:val="center"/>
          </w:tcPr>
          <w:p>
            <w:pPr>
              <w:jc w:val="center"/>
            </w:pPr>
            <w:r/>
            <w:r>
              <w:rPr>
                <w:rFonts w:ascii="微软雅黑" w:hAnsi="微软雅黑" w:eastAsia="微软雅黑"/>
                <w:b w:val="0"/>
                <w:i w:val="0"/>
                <w:color w:val="202833"/>
                <w:sz w:val="20"/>
              </w:rPr>
              <w:t>81.19亿元</w:t>
            </w:r>
          </w:p>
        </w:tc>
        <w:tc>
          <w:tcPr>
            <w:tcW w:type="dxa" w:w="3324"/>
            <w:vAlign w:val="center"/>
          </w:tcPr>
          <w:p>
            <w:pPr>
              <w:jc w:val="center"/>
            </w:pPr>
            <w:r/>
            <w:r>
              <w:rPr>
                <w:rFonts w:ascii="微软雅黑" w:hAnsi="微软雅黑" w:eastAsia="微软雅黑"/>
                <w:b w:val="0"/>
                <w:i w:val="0"/>
                <w:color w:val="202833"/>
                <w:sz w:val="20"/>
              </w:rPr>
              <w:t>+14.75%</w:t>
            </w:r>
          </w:p>
        </w:tc>
      </w:tr>
      <w:tr>
        <w:tc>
          <w:tcPr>
            <w:tcW w:type="dxa" w:w="3324"/>
            <w:vAlign w:val="center"/>
            <w:shd w:val="clear" w:fill="EAF1FB"/>
          </w:tcPr>
          <w:p>
            <w:pPr>
              <w:jc w:val="center"/>
            </w:pPr>
            <w:r/>
            <w:r>
              <w:rPr>
                <w:rFonts w:ascii="微软雅黑" w:hAnsi="微软雅黑" w:eastAsia="微软雅黑"/>
                <w:b w:val="0"/>
                <w:i w:val="0"/>
                <w:color w:val="202833"/>
                <w:sz w:val="20"/>
              </w:rPr>
              <w:t>归母净利润</w:t>
            </w:r>
          </w:p>
        </w:tc>
        <w:tc>
          <w:tcPr>
            <w:tcW w:type="dxa" w:w="3324"/>
            <w:vAlign w:val="center"/>
            <w:shd w:val="clear" w:fill="EAF1FB"/>
          </w:tcPr>
          <w:p>
            <w:pPr>
              <w:jc w:val="center"/>
            </w:pPr>
            <w:r/>
            <w:r>
              <w:rPr>
                <w:rFonts w:ascii="微软雅黑" w:hAnsi="微软雅黑" w:eastAsia="微软雅黑"/>
                <w:b w:val="0"/>
                <w:i w:val="0"/>
                <w:color w:val="202833"/>
                <w:sz w:val="20"/>
              </w:rPr>
              <w:t>1.51亿元</w:t>
            </w:r>
          </w:p>
        </w:tc>
        <w:tc>
          <w:tcPr>
            <w:tcW w:type="dxa" w:w="3324"/>
            <w:vAlign w:val="center"/>
            <w:shd w:val="clear" w:fill="EAF1FB"/>
          </w:tcPr>
          <w:p>
            <w:pPr>
              <w:jc w:val="center"/>
            </w:pPr>
            <w:r/>
            <w:r>
              <w:rPr>
                <w:rFonts w:ascii="微软雅黑" w:hAnsi="微软雅黑" w:eastAsia="微软雅黑"/>
                <w:b w:val="0"/>
                <w:i w:val="0"/>
                <w:color w:val="202833"/>
                <w:sz w:val="20"/>
              </w:rPr>
              <w:t>+19.72%</w:t>
            </w:r>
          </w:p>
        </w:tc>
      </w:tr>
      <w:tr>
        <w:tc>
          <w:tcPr>
            <w:tcW w:type="dxa" w:w="3324"/>
            <w:vAlign w:val="center"/>
          </w:tcPr>
          <w:p>
            <w:pPr>
              <w:jc w:val="center"/>
            </w:pPr>
            <w:r/>
            <w:r>
              <w:rPr>
                <w:rFonts w:ascii="微软雅黑" w:hAnsi="微软雅黑" w:eastAsia="微软雅黑"/>
                <w:b w:val="0"/>
                <w:i w:val="0"/>
                <w:color w:val="202833"/>
                <w:sz w:val="20"/>
              </w:rPr>
              <w:t>扣非净利润</w:t>
            </w:r>
          </w:p>
        </w:tc>
        <w:tc>
          <w:tcPr>
            <w:tcW w:type="dxa" w:w="3324"/>
            <w:vAlign w:val="center"/>
          </w:tcPr>
          <w:p>
            <w:pPr>
              <w:jc w:val="center"/>
            </w:pPr>
            <w:r/>
            <w:r>
              <w:rPr>
                <w:rFonts w:ascii="微软雅黑" w:hAnsi="微软雅黑" w:eastAsia="微软雅黑"/>
                <w:b w:val="0"/>
                <w:i w:val="0"/>
                <w:color w:val="202833"/>
                <w:sz w:val="20"/>
              </w:rPr>
              <w:t>1.21亿元</w:t>
            </w:r>
          </w:p>
        </w:tc>
        <w:tc>
          <w:tcPr>
            <w:tcW w:type="dxa" w:w="3324"/>
            <w:vAlign w:val="center"/>
          </w:tcPr>
          <w:p>
            <w:pPr>
              <w:jc w:val="center"/>
            </w:pPr>
            <w:r/>
            <w:r>
              <w:rPr>
                <w:rFonts w:ascii="微软雅黑" w:hAnsi="微软雅黑" w:eastAsia="微软雅黑"/>
                <w:b w:val="0"/>
                <w:i w:val="0"/>
                <w:color w:val="202833"/>
                <w:sz w:val="20"/>
              </w:rPr>
              <w:t>+25.81%</w:t>
            </w:r>
          </w:p>
        </w:tc>
      </w:tr>
    </w:tbl>
    <w:p>
      <w:pPr>
        <w:spacing w:after="40"/>
      </w:pP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‘AI+人力资源服务’大赛总决赛苏州举办，AI招聘成产业对接新接口</w:t>
      </w:r>
    </w:p>
    <w:p>
      <w:pPr>
        <w:spacing w:after="140" w:before="0" w:line="312" w:lineRule="auto"/>
        <w:ind w:left="113"/>
      </w:pPr>
      <w:r>
        <w:rPr>
          <w:rFonts w:ascii="微软雅黑" w:hAnsi="微软雅黑" w:eastAsia="微软雅黑"/>
          <w:b w:val="0"/>
          <w:i w:val="0"/>
          <w:color w:val="202833"/>
          <w:sz w:val="22"/>
        </w:rPr>
        <w:t>据中新网8月31日报道，由中国人才交流协会、江苏省人社厅、苏州市政府联合主办的‘AI+人力资源服务’创新创意大赛总决赛在苏州高新区开赛。大赛自6月启动以来吸引全球500余个项目报名，32支团队晋级总决赛，设置‘AI+招聘配置’‘AI+人才培养’‘AI+人效管理’‘AI+政务服务’四大赛道，全面覆盖人力资源服务‘选、育、用、留’全周期。</w:t>
      </w:r>
    </w:p>
    <w:p>
      <w:pPr>
        <w:spacing w:after="140" w:before="0" w:line="312" w:lineRule="auto"/>
        <w:ind w:left="113"/>
      </w:pPr>
      <w:r>
        <w:rPr>
          <w:rFonts w:ascii="微软雅黑" w:hAnsi="微软雅黑" w:eastAsia="微软雅黑"/>
          <w:b w:val="0"/>
          <w:i w:val="0"/>
          <w:color w:val="202833"/>
          <w:sz w:val="22"/>
        </w:rPr>
        <w:t>参赛项目直击行业痛点：鱼泡科技的AI面试系统瞄准‘招工难、找活难’，为企业提供简历筛选、AI面试、面试报告生成，为求职者提供岗位推荐与24小时求职助手；数字孪生实训车间、AI技能陪练等人才培养类项目则打通‘培训—就业—进阶’闭环。</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州市人社局官员明确表示办赛初衷是‘把大赛打造成项目招引、产业对接的接口，推动好项目从赛场走向市场’。以赛促产、以赛招商，AI+人力资源正成为地方政府竞逐的产业新赛道，预计相关孵化与落地政策将加速跟进。</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人力资源赛道投资逻辑生变：一级市场关注AI招聘与人效工具的落地场景，二级市场看重盈利质量与股东回报，而‘合规风险’首次成为影响标的估值的显性变量（星宇案例）。</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事件：星宇股份‘劝退应届生’进入连锁反应期——一场用工风波如何演变为治理危机</w:t>
      </w:r>
    </w:p>
    <w:p>
      <w:pPr>
        <w:spacing w:after="140" w:before="0" w:line="312" w:lineRule="auto"/>
        <w:ind w:left="113"/>
      </w:pPr>
      <w:r>
        <w:rPr>
          <w:rFonts w:ascii="微软雅黑" w:hAnsi="微软雅黑" w:eastAsia="微软雅黑"/>
          <w:b w:val="0"/>
          <w:i w:val="0"/>
          <w:color w:val="202833"/>
          <w:sz w:val="22"/>
        </w:rPr>
        <w:t>【事件回顾】7月，A股上市公司常州星宇车灯股份有限公司（601799.SH）招录440名2026届高校毕业生，入职仅一个多月后，人力资源部门即分批集中约谈：要么以‘个人原因’主动离职领取半个月补偿，要么被强制调岗至一线流水线操作岗并按普工体系重新定薪，约谈中甚至出现‘不配合签字影响行业背调’的说法。8月25日常州市人社局通报：星宇共与其中107人解除劳动合同，认定协商过程‘方法简单生硬、缺乏充分有效沟通’，企业致歉并对人力资源总监作出停职处理。</w:t>
      </w:r>
    </w:p>
    <w:p>
      <w:pPr>
        <w:spacing w:after="140" w:before="0" w:line="312" w:lineRule="auto"/>
        <w:ind w:left="113"/>
      </w:pPr>
      <w:r>
        <w:rPr>
          <w:rFonts w:ascii="微软雅黑" w:hAnsi="微软雅黑" w:eastAsia="微软雅黑"/>
          <w:b w:val="0"/>
          <w:i w:val="0"/>
          <w:color w:val="202833"/>
          <w:sz w:val="22"/>
        </w:rPr>
        <w:t>【本周新进展】事件并未止步于劳动仲裁范畴，而是沿着三条线急速外溢：其一，资本市场——9月2日业绩说明会上董事长周晓萍公开致歉，但股价连跌6天，一周市值蒸发超32亿元，近30天累计跌超20%，股价跌回2019年水平，中报‘增收不增利’（营收68.84亿元+1.87%、净利6.69亿元-5.26%）令全年业绩达标承压；其二，上市监管——公司7月29日二次递表港交所拟发行不超4479.965万股H股，港交所确认已将相关投诉转交上市科作个案核查；其三，全球供应链——大众中国确认‘第一时间启动专项调查’，媒体报道梅赛德斯-奔驰已受理举报并转交专业团队审查，欧盟《企业可持续尽职调查指令》对供应链劳工权益的硬约束成为悬顶之剑。</w:t>
      </w:r>
    </w:p>
    <w:p>
      <w:pPr>
        <w:spacing w:after="140" w:before="0" w:line="312" w:lineRule="auto"/>
        <w:ind w:left="113"/>
      </w:pPr>
      <w:r>
        <w:rPr>
          <w:rFonts w:ascii="微软雅黑" w:hAnsi="微软雅黑" w:eastAsia="微软雅黑"/>
          <w:b w:val="0"/>
          <w:i w:val="0"/>
          <w:color w:val="202833"/>
          <w:sz w:val="22"/>
        </w:rPr>
        <w:t>【深层数据】事件暴露的用工结构问题更值得警惕：星宇劳务外包工时从2022年的238.4万小时飙升至2025年的1087.4万小时（四年增长约3.6倍），劳务外包报酬从6572.7万元增至3.02亿元；在职员工数从2024年10426人的高峰骤降至2025年7532人，一年锐减2894人（其中生产人员减少3182人、降幅超四成）；派遣劳工比例此前曾超法定10%上限，至2026年5月31日才降至10%以下。事件后公司校招全面停滞，却将小时工留任奖从2元/时上调至3元/时（23元/时）以稳定外包用工——‘用外包替代正式编制’的质疑由此发酵。</w:t>
      </w:r>
    </w:p>
    <w:p>
      <w:pPr>
        <w:spacing w:after="140" w:before="0" w:line="312" w:lineRule="auto"/>
        <w:ind w:left="113"/>
      </w:pPr>
      <w:r>
        <w:rPr>
          <w:rFonts w:ascii="微软雅黑" w:hAnsi="微软雅黑" w:eastAsia="微软雅黑"/>
          <w:b w:val="0"/>
          <w:i w:val="0"/>
          <w:color w:val="202833"/>
          <w:sz w:val="22"/>
        </w:rPr>
        <w:t>【法律与治理视角】上海正策律师事务所律师董毅智指出，强制调岗涉嫌违反《劳动合同法》第35条（变更岗位须协商一致），研发岗调流水线缺乏业务必要性、带有惩罚性质，属于第38条‘未按约定提供劳动条件’，员工有权解除合同并主张经济补偿；若企业以‘不服从管理’开除则构成违法解除，需支付双倍赔偿金。二十一世纪教育研究院院长熊丙奇则强调，应届生损失的远不止经济补偿，更关键的是错过黄金求职窗口期。</w:t>
      </w:r>
    </w:p>
    <w:p>
      <w:pPr>
        <w:spacing w:after="140" w:before="0" w:line="312" w:lineRule="auto"/>
        <w:ind w:left="113"/>
      </w:pPr>
      <w:r>
        <w:rPr>
          <w:rFonts w:ascii="微软雅黑" w:hAnsi="微软雅黑" w:eastAsia="微软雅黑"/>
          <w:b w:val="0"/>
          <w:i w:val="0"/>
          <w:color w:val="202833"/>
          <w:sz w:val="22"/>
        </w:rPr>
        <w:t>【启示】新京报评论直言：‘规模可以快速做大，厂房可以买，设备可以买，技术也可以追赶，现代企业治理却没有捷径。’对于大量正在出海的中国制造企业，劳动关系、招聘解聘、职业健康与员工申诉渠道都已纳入客户审核与资本市场审核的射程——尊重员工、尊重契约、尊重规则，正从道德倡导变为生存刚需。</w:t>
      </w:r>
    </w:p>
    <w:tbl>
      <w:tblPr>
        <w:tblW w:type="auto" w:w="0"/>
        <w:jc w:val="center"/>
        <w:tblLook w:firstColumn="1" w:firstRow="1" w:lastColumn="0" w:lastRow="0" w:noHBand="0" w:noVBand="1" w:val="04A0"/>
      </w:tblPr>
      <w:tblGrid>
        <w:gridCol w:w="3324"/>
        <w:gridCol w:w="3324"/>
        <w:gridCol w:w="3324"/>
      </w:tblGrid>
      <w:tr>
        <w:tc>
          <w:tcPr>
            <w:tcW w:type="dxa" w:w="3324"/>
            <w:vAlign w:val="center"/>
            <w:shd w:val="clear" w:fill="0F2452"/>
          </w:tcPr>
          <w:p>
            <w:pPr>
              <w:jc w:val="center"/>
            </w:pPr>
            <w:r/>
            <w:r>
              <w:rPr>
                <w:rFonts w:ascii="微软雅黑" w:hAnsi="微软雅黑" w:eastAsia="微软雅黑"/>
                <w:b/>
                <w:i w:val="0"/>
                <w:color w:val="FFFFFF"/>
                <w:sz w:val="21"/>
              </w:rPr>
              <w:t>维度</w:t>
            </w:r>
          </w:p>
        </w:tc>
        <w:tc>
          <w:tcPr>
            <w:tcW w:type="dxa" w:w="3324"/>
            <w:vAlign w:val="center"/>
            <w:shd w:val="clear" w:fill="0F2452"/>
          </w:tcPr>
          <w:p>
            <w:pPr>
              <w:jc w:val="center"/>
            </w:pPr>
            <w:r/>
            <w:r>
              <w:rPr>
                <w:rFonts w:ascii="微软雅黑" w:hAnsi="微软雅黑" w:eastAsia="微软雅黑"/>
                <w:b/>
                <w:i w:val="0"/>
                <w:color w:val="FFFFFF"/>
                <w:sz w:val="21"/>
              </w:rPr>
              <w:t>关键事实</w:t>
            </w:r>
          </w:p>
        </w:tc>
        <w:tc>
          <w:tcPr>
            <w:tcW w:type="dxa" w:w="3324"/>
            <w:vAlign w:val="center"/>
            <w:shd w:val="clear" w:fill="0F2452"/>
          </w:tcPr>
          <w:p>
            <w:pPr>
              <w:jc w:val="center"/>
            </w:pPr>
            <w:r/>
            <w:r>
              <w:rPr>
                <w:rFonts w:ascii="微软雅黑" w:hAnsi="微软雅黑" w:eastAsia="微软雅黑"/>
                <w:b/>
                <w:i w:val="0"/>
                <w:color w:val="FFFFFF"/>
                <w:sz w:val="21"/>
              </w:rPr>
              <w:t>影响</w:t>
            </w:r>
          </w:p>
        </w:tc>
      </w:tr>
      <w:tr>
        <w:tc>
          <w:tcPr>
            <w:tcW w:type="dxa" w:w="3324"/>
            <w:vAlign w:val="center"/>
          </w:tcPr>
          <w:p>
            <w:pPr>
              <w:jc w:val="center"/>
            </w:pPr>
            <w:r/>
            <w:r>
              <w:rPr>
                <w:rFonts w:ascii="微软雅黑" w:hAnsi="微软雅黑" w:eastAsia="微软雅黑"/>
                <w:b w:val="0"/>
                <w:i w:val="0"/>
                <w:color w:val="202833"/>
                <w:sz w:val="20"/>
              </w:rPr>
              <w:t>资本市场</w:t>
            </w:r>
          </w:p>
        </w:tc>
        <w:tc>
          <w:tcPr>
            <w:tcW w:type="dxa" w:w="3324"/>
            <w:vAlign w:val="center"/>
          </w:tcPr>
          <w:p>
            <w:pPr>
              <w:jc w:val="center"/>
            </w:pPr>
            <w:r/>
            <w:r>
              <w:rPr>
                <w:rFonts w:ascii="微软雅黑" w:hAnsi="微软雅黑" w:eastAsia="微软雅黑"/>
                <w:b w:val="0"/>
                <w:i w:val="0"/>
                <w:color w:val="202833"/>
                <w:sz w:val="20"/>
              </w:rPr>
              <w:t>一周市值蒸发超32亿元，30天跌超20%</w:t>
            </w:r>
          </w:p>
        </w:tc>
        <w:tc>
          <w:tcPr>
            <w:tcW w:type="dxa" w:w="3324"/>
            <w:vAlign w:val="center"/>
          </w:tcPr>
          <w:p>
            <w:pPr>
              <w:jc w:val="center"/>
            </w:pPr>
            <w:r/>
            <w:r>
              <w:rPr>
                <w:rFonts w:ascii="微软雅黑" w:hAnsi="微软雅黑" w:eastAsia="微软雅黑"/>
                <w:b w:val="0"/>
                <w:i w:val="0"/>
                <w:color w:val="202833"/>
                <w:sz w:val="20"/>
              </w:rPr>
              <w:t>股价跌回2019年水平</w:t>
            </w:r>
          </w:p>
        </w:tc>
      </w:tr>
      <w:tr>
        <w:tc>
          <w:tcPr>
            <w:tcW w:type="dxa" w:w="3324"/>
            <w:vAlign w:val="center"/>
            <w:shd w:val="clear" w:fill="EAF1FB"/>
          </w:tcPr>
          <w:p>
            <w:pPr>
              <w:jc w:val="center"/>
            </w:pPr>
            <w:r/>
            <w:r>
              <w:rPr>
                <w:rFonts w:ascii="微软雅黑" w:hAnsi="微软雅黑" w:eastAsia="微软雅黑"/>
                <w:b w:val="0"/>
                <w:i w:val="0"/>
                <w:color w:val="202833"/>
                <w:sz w:val="20"/>
              </w:rPr>
              <w:t>上市监管</w:t>
            </w:r>
          </w:p>
        </w:tc>
        <w:tc>
          <w:tcPr>
            <w:tcW w:type="dxa" w:w="3324"/>
            <w:vAlign w:val="center"/>
            <w:shd w:val="clear" w:fill="EAF1FB"/>
          </w:tcPr>
          <w:p>
            <w:pPr>
              <w:jc w:val="center"/>
            </w:pPr>
            <w:r/>
            <w:r>
              <w:rPr>
                <w:rFonts w:ascii="微软雅黑" w:hAnsi="微软雅黑" w:eastAsia="微软雅黑"/>
                <w:b w:val="0"/>
                <w:i w:val="0"/>
                <w:color w:val="202833"/>
                <w:sz w:val="20"/>
              </w:rPr>
              <w:t>港交所转交上市科个案核查</w:t>
            </w:r>
          </w:p>
        </w:tc>
        <w:tc>
          <w:tcPr>
            <w:tcW w:type="dxa" w:w="3324"/>
            <w:vAlign w:val="center"/>
            <w:shd w:val="clear" w:fill="EAF1FB"/>
          </w:tcPr>
          <w:p>
            <w:pPr>
              <w:jc w:val="center"/>
            </w:pPr>
            <w:r/>
            <w:r>
              <w:rPr>
                <w:rFonts w:ascii="微软雅黑" w:hAnsi="微软雅黑" w:eastAsia="微软雅黑"/>
                <w:b w:val="0"/>
                <w:i w:val="0"/>
                <w:color w:val="202833"/>
                <w:sz w:val="20"/>
              </w:rPr>
              <w:t>港股IPO进程实质性遇阻风险</w:t>
            </w:r>
          </w:p>
        </w:tc>
      </w:tr>
      <w:tr>
        <w:tc>
          <w:tcPr>
            <w:tcW w:type="dxa" w:w="3324"/>
            <w:vAlign w:val="center"/>
          </w:tcPr>
          <w:p>
            <w:pPr>
              <w:jc w:val="center"/>
            </w:pPr>
            <w:r/>
            <w:r>
              <w:rPr>
                <w:rFonts w:ascii="微软雅黑" w:hAnsi="微软雅黑" w:eastAsia="微软雅黑"/>
                <w:b w:val="0"/>
                <w:i w:val="0"/>
                <w:color w:val="202833"/>
                <w:sz w:val="20"/>
              </w:rPr>
              <w:t>全球供应链</w:t>
            </w:r>
          </w:p>
        </w:tc>
        <w:tc>
          <w:tcPr>
            <w:tcW w:type="dxa" w:w="3324"/>
            <w:vAlign w:val="center"/>
          </w:tcPr>
          <w:p>
            <w:pPr>
              <w:jc w:val="center"/>
            </w:pPr>
            <w:r/>
            <w:r>
              <w:rPr>
                <w:rFonts w:ascii="微软雅黑" w:hAnsi="微软雅黑" w:eastAsia="微软雅黑"/>
                <w:b w:val="0"/>
                <w:i w:val="0"/>
                <w:color w:val="202833"/>
                <w:sz w:val="20"/>
              </w:rPr>
              <w:t>大众中国启动专项调查，奔驰受理举报</w:t>
            </w:r>
          </w:p>
        </w:tc>
        <w:tc>
          <w:tcPr>
            <w:tcW w:type="dxa" w:w="3324"/>
            <w:vAlign w:val="center"/>
          </w:tcPr>
          <w:p>
            <w:pPr>
              <w:jc w:val="center"/>
            </w:pPr>
            <w:r/>
            <w:r>
              <w:rPr>
                <w:rFonts w:ascii="微软雅黑" w:hAnsi="微软雅黑" w:eastAsia="微软雅黑"/>
                <w:b w:val="0"/>
                <w:i w:val="0"/>
                <w:color w:val="202833"/>
                <w:sz w:val="20"/>
              </w:rPr>
              <w:t>ESG合规审查或影响新车型定点</w:t>
            </w:r>
          </w:p>
        </w:tc>
      </w:tr>
      <w:tr>
        <w:tc>
          <w:tcPr>
            <w:tcW w:type="dxa" w:w="3324"/>
            <w:vAlign w:val="center"/>
            <w:shd w:val="clear" w:fill="EAF1FB"/>
          </w:tcPr>
          <w:p>
            <w:pPr>
              <w:jc w:val="center"/>
            </w:pPr>
            <w:r/>
            <w:r>
              <w:rPr>
                <w:rFonts w:ascii="微软雅黑" w:hAnsi="微软雅黑" w:eastAsia="微软雅黑"/>
                <w:b w:val="0"/>
                <w:i w:val="0"/>
                <w:color w:val="202833"/>
                <w:sz w:val="20"/>
              </w:rPr>
              <w:t>用工结构</w:t>
            </w:r>
          </w:p>
        </w:tc>
        <w:tc>
          <w:tcPr>
            <w:tcW w:type="dxa" w:w="3324"/>
            <w:vAlign w:val="center"/>
            <w:shd w:val="clear" w:fill="EAF1FB"/>
          </w:tcPr>
          <w:p>
            <w:pPr>
              <w:jc w:val="center"/>
            </w:pPr>
            <w:r/>
            <w:r>
              <w:rPr>
                <w:rFonts w:ascii="微软雅黑" w:hAnsi="微软雅黑" w:eastAsia="微软雅黑"/>
                <w:b w:val="0"/>
                <w:i w:val="0"/>
                <w:color w:val="202833"/>
                <w:sz w:val="20"/>
              </w:rPr>
              <w:t>劳务外包工时4年增3.6倍，在职员工一年减2894人</w:t>
            </w:r>
          </w:p>
        </w:tc>
        <w:tc>
          <w:tcPr>
            <w:tcW w:type="dxa" w:w="3324"/>
            <w:vAlign w:val="center"/>
            <w:shd w:val="clear" w:fill="EAF1FB"/>
          </w:tcPr>
          <w:p>
            <w:pPr>
              <w:jc w:val="center"/>
            </w:pPr>
            <w:r/>
            <w:r>
              <w:rPr>
                <w:rFonts w:ascii="微软雅黑" w:hAnsi="微软雅黑" w:eastAsia="微软雅黑"/>
                <w:b w:val="0"/>
                <w:i w:val="0"/>
                <w:color w:val="202833"/>
                <w:sz w:val="20"/>
              </w:rPr>
              <w:t>‘外包替代正式编’争议发酵</w:t>
            </w:r>
          </w:p>
        </w:tc>
      </w:tr>
      <w:tr>
        <w:tc>
          <w:tcPr>
            <w:tcW w:type="dxa" w:w="3324"/>
            <w:vAlign w:val="center"/>
          </w:tcPr>
          <w:p>
            <w:pPr>
              <w:jc w:val="center"/>
            </w:pPr>
            <w:r/>
            <w:r>
              <w:rPr>
                <w:rFonts w:ascii="微软雅黑" w:hAnsi="微软雅黑" w:eastAsia="微软雅黑"/>
                <w:b w:val="0"/>
                <w:i w:val="0"/>
                <w:color w:val="202833"/>
                <w:sz w:val="20"/>
              </w:rPr>
              <w:t>补救措施</w:t>
            </w:r>
          </w:p>
        </w:tc>
        <w:tc>
          <w:tcPr>
            <w:tcW w:type="dxa" w:w="3324"/>
            <w:vAlign w:val="center"/>
          </w:tcPr>
          <w:p>
            <w:pPr>
              <w:jc w:val="center"/>
            </w:pPr>
            <w:r/>
            <w:r>
              <w:rPr>
                <w:rFonts w:ascii="微软雅黑" w:hAnsi="微软雅黑" w:eastAsia="微软雅黑"/>
                <w:b w:val="0"/>
                <w:i w:val="0"/>
                <w:color w:val="202833"/>
                <w:sz w:val="20"/>
              </w:rPr>
              <w:t>3个月求职补贴(5000元/月)+免费住宿+6个月工资补偿兜底</w:t>
            </w:r>
          </w:p>
        </w:tc>
        <w:tc>
          <w:tcPr>
            <w:tcW w:type="dxa" w:w="3324"/>
            <w:vAlign w:val="center"/>
          </w:tcPr>
          <w:p>
            <w:pPr>
              <w:jc w:val="center"/>
            </w:pPr>
            <w:r/>
            <w:r>
              <w:rPr>
                <w:rFonts w:ascii="微软雅黑" w:hAnsi="微软雅黑" w:eastAsia="微软雅黑"/>
                <w:b w:val="0"/>
                <w:i w:val="0"/>
                <w:color w:val="202833"/>
                <w:sz w:val="20"/>
              </w:rPr>
              <w:t>已启动发放，但舆论修复漫长</w:t>
            </w:r>
          </w:p>
        </w:tc>
      </w:tr>
    </w:tbl>
    <w:p>
      <w:pPr>
        <w:spacing w:after="40"/>
      </w:pP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星宇事件成为2026年度中国劳动用工治理的标志性案例：它证明在社交媒体、资本市场规则与跨国供应链合规的三重监督下，企业用工管理已无‘家事’可言——107名毕业生的补偿金只是显性成本，客户信任、供应链信誉与上市窗口的隐性代价远超想象。</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趋势研判：用工合规资本化、AI落地场景化、灵活用工制度化</w:t>
      </w:r>
    </w:p>
    <w:p>
      <w:pPr>
        <w:spacing w:after="140" w:before="0" w:line="312" w:lineRule="auto"/>
        <w:ind w:left="113"/>
      </w:pPr>
      <w:r>
        <w:rPr>
          <w:rFonts w:ascii="微软雅黑" w:hAnsi="微软雅黑" w:eastAsia="微软雅黑"/>
          <w:b w:val="0"/>
          <w:i w:val="0"/>
          <w:color w:val="202833"/>
          <w:sz w:val="22"/>
        </w:rPr>
        <w:t>趋势一：用工合规从‘成本项’变‘估值项’。星宇案例标志着劳动用工争议第一次以如此直接的方式冲击A+H上市进程与全球车企供应链地位。港交所ESG审核已进入‘强制披露+实质审查’阶段，劳工权益属于监管红线；未来人力资源服务机构面向企业的合规咨询、用工制度设计、ESG劳工维度审计等业务需求将显著增长。</w:t>
      </w:r>
    </w:p>
    <w:p>
      <w:pPr>
        <w:spacing w:after="140" w:before="0" w:line="312" w:lineRule="auto"/>
        <w:ind w:left="113"/>
      </w:pPr>
      <w:r>
        <w:rPr>
          <w:rFonts w:ascii="微软雅黑" w:hAnsi="微软雅黑" w:eastAsia="微软雅黑"/>
          <w:b w:val="0"/>
          <w:i w:val="0"/>
          <w:color w:val="202833"/>
          <w:sz w:val="22"/>
        </w:rPr>
        <w:t>趋势二：AI在人力资源领域从‘概念展示’进入‘场景兑现’。BOSS直聘AI Agent延伸至面试入职闭环、前程无忧AI重构校招、苏州AI+人力资源大赛500余项目参赛——AI招聘、AI面试、智能排班、数字孪生实训等应用密集落地。具备真实场景数据与交付能力的公司将成为资本与客户的双重赢家。</w:t>
      </w:r>
    </w:p>
    <w:p>
      <w:pPr>
        <w:spacing w:after="140" w:before="0" w:line="312" w:lineRule="auto"/>
        <w:ind w:left="113"/>
      </w:pPr>
      <w:r>
        <w:rPr>
          <w:rFonts w:ascii="微软雅黑" w:hAnsi="微软雅黑" w:eastAsia="微软雅黑"/>
          <w:b w:val="0"/>
          <w:i w:val="0"/>
          <w:color w:val="202833"/>
          <w:sz w:val="22"/>
        </w:rPr>
        <w:t>趋势三：新就业形态治理进入制度化深水区。金华‘等灯不计时’算法调整、成都骑手公寓、杭州免费午餐、山东215.8万人保障覆盖等案例显示，围绕平台用工的算法规则、居住保障、职业伤害、维权通道建设正从试点走向制度化复制，‘体面劳动’成为灵活用工政策的共同指向。</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风险提示：三大风险点需重点关注</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风险一：批量用工调整的法律与声誉风险。星宇案例提示，企业规模性‘劝退/调岗’即使试图规避赔偿，也会在劳动仲裁、媒体监督、客户合规审查与资本市场多重维度付出远超预期的代价。建议企业用工调整务必履行协商程序、留存合规证据，并前置性评估ESG影响。</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风险二：招聘平台黑灰产与数据合规风险。刷单式‘考核’、考证骗局、境外高薪诈骗等黑灰产持续侵蚀行业信誉；AI招聘涉及的大量简历数据在《个人信息保护法》框架下面临更严监管。平台与机构需同步强化内容治理与数据合规投入。</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风险三：灵活用工权益保障的区域不均衡与算法反复。虽然各地对骑手等群体的保障举措密集落地，但‘新职伤’试点覆盖、算法透明化在不同平台、不同城市间仍存在明显差异，一旦出现极端个案（如重大交通事故、过劳事件），可能引发监管收紧与舆情反噬，平台企业宜主动将算法规则与劳动规则纳入协商轨道。</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行业图景可概括为‘一冷一热’：冷的是一起用工风波引发的连锁震荡，热的是AI技术与制度创新对行业的持续重塑。对人力资源服务机构而言，能同时承接‘合规服务’与‘AI效率’两大需求的企业，将占据下一个周期的有利身位。</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星宇之鉴在前：用工合规已是企业上市与出海的‘入场券’而非‘选修课’；BOSS直聘与科锐国际的业绩则证明，尊重劳动者、拥抱AI化的企业，终将收获市场的长期回报——合规与效率并重，方是人力资源行业下半场的生存法则。</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生成时间：2026-09-04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