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报告周期：2026年8月29日 — 9月5日（滚动一周）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政策信号密集：国新办发布会宣布灵活就业人员职工医保参保全面松绑（取消户籍限制、年限按月累计、支持平台企业代缴）；北京出台家政业20条、天津将即时配送列入工伤预防重点领域——新就业形态保障从'点状试点'走向'制度成网'。</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医保新政：灵活就业人员参加职工医保取消就业地/常住地户籍限制，缴费年限按月累计，2025年参保规模已达6982.18万人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家政双响：北京六部门发布20项举措促家政业发展，全国巾帼家政技能大赛1.8万余人参赛</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算法共议：厦门骑手与平台面对面协商化解跑单争议，四项共识落地；天津工伤预防五年行动将即时配送列重点</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资本动向：BOSS直聘市值创年内新高（超110亿美元）并加码股东回报；科锐国际中报后获多家券商买入评级</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国新办'开局起步十五五'发布会：灵活就业人员医保参保迎系统性松绑</w:t>
      </w:r>
    </w:p>
    <w:p>
      <w:pPr>
        <w:spacing w:after="140" w:before="0" w:line="312" w:lineRule="auto"/>
        <w:ind w:left="113"/>
      </w:pPr>
      <w:r>
        <w:rPr>
          <w:rFonts w:ascii="微软雅黑" w:hAnsi="微软雅黑" w:eastAsia="微软雅黑"/>
          <w:b w:val="0"/>
          <w:i w:val="0"/>
          <w:color w:val="202833"/>
          <w:sz w:val="22"/>
        </w:rPr>
        <w:t>9月4日国新办举行的'开局起步‘十五五’'系列主题新闻发布会上，国家医保局副局长黄华波宣布多项针对灵活就业人员的参保举措：持续推动超大城市全面取消就业地、常住地参保户籍限制；鼓励地方将灵活就业人员纳入生育保险覆盖范围；探索将连续参加居民医保的缴费年限折算为职工医保年限；职工医保缴费年限允许按月累计，零散缴费时间均可计入。</w:t>
      </w:r>
    </w:p>
    <w:p>
      <w:pPr>
        <w:spacing w:after="140" w:before="0" w:line="312" w:lineRule="auto"/>
        <w:ind w:left="113"/>
      </w:pPr>
      <w:r>
        <w:rPr>
          <w:rFonts w:ascii="微软雅黑" w:hAnsi="微软雅黑" w:eastAsia="微软雅黑"/>
          <w:b w:val="0"/>
          <w:i w:val="0"/>
          <w:color w:val="202833"/>
          <w:sz w:val="22"/>
        </w:rPr>
        <w:t>缴费端同步放开：对灵活就业人员实行月缴，探索按季度、半年、全年预缴的灵活模式，并推动平台企业对符合条件的从业人员采取适宜缴费方式。2025年全国灵活就业等其他人员参加职工医保已达6982.18万人，同比增长5.54%。【重点】从'放开参保'到'便利缴费'再到'年限累计'，灵活就业者与职工医保之间的制度壁垒正被系统性拆除，直接影响超2亿灵活就业群体的长远保障预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全总2026年支持建设600个劳模工匠创新工作室</w:t>
      </w:r>
    </w:p>
    <w:p>
      <w:pPr>
        <w:spacing w:after="140" w:before="0" w:line="312" w:lineRule="auto"/>
        <w:ind w:left="113"/>
      </w:pPr>
      <w:r>
        <w:rPr>
          <w:rFonts w:ascii="微软雅黑" w:hAnsi="微软雅黑" w:eastAsia="微软雅黑"/>
          <w:b w:val="0"/>
          <w:i w:val="0"/>
          <w:color w:val="202833"/>
          <w:sz w:val="22"/>
        </w:rPr>
        <w:t>全国总工会近日印发通知，确定2026年支持建设600个全国劳模工匠创新工作室，每个给予10万元补助资金，重点面向提质升级的传统产业、壮大的新兴产业及前瞻布局的未来产业。据统计，入选工作室近三年累计取得创新成果3.2万个、专利1.92万项，培养各类技能人才13.7万人（其中高技能人才4.1万人）。</w:t>
      </w:r>
    </w:p>
    <w:p>
      <w:pPr>
        <w:spacing w:after="140" w:before="0" w:line="312" w:lineRule="auto"/>
        <w:ind w:left="113"/>
      </w:pPr>
      <w:r>
        <w:rPr>
          <w:rFonts w:ascii="微软雅黑" w:hAnsi="微软雅黑" w:eastAsia="微软雅黑"/>
          <w:b w:val="0"/>
          <w:i w:val="0"/>
          <w:color w:val="202833"/>
          <w:sz w:val="22"/>
        </w:rPr>
        <w:t>按2025年10月全总印发的《关于加强劳模工匠创新工作室建设的意见》，到2030年全国总工会支持建设的创新工作室将达3000家，各级创新工作室达16万家，技能传承与产业工人培养正获得更系统的载体支撑。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工信部启动人工智能应用服务商培育专项行动</w:t>
      </w:r>
    </w:p>
    <w:p>
      <w:pPr>
        <w:spacing w:after="140" w:before="0" w:line="312" w:lineRule="auto"/>
        <w:ind w:left="113"/>
      </w:pPr>
      <w:r>
        <w:rPr>
          <w:rFonts w:ascii="微软雅黑" w:hAnsi="微软雅黑" w:eastAsia="微软雅黑"/>
          <w:b w:val="0"/>
          <w:i w:val="0"/>
          <w:color w:val="202833"/>
          <w:sz w:val="22"/>
        </w:rPr>
        <w:t>工信部近日印发《关于开展人工智能应用服务商培育专项行动的通知》，围绕'扩量提质、梯次培育'系统布局四项任务：建立全国服务商资源池、组建人工智能应用服务团、鼓励打造标准化可复制解决方案并推动优质AI项目出海、用好'算力券'等工具保障要素供给。</w:t>
      </w:r>
    </w:p>
    <w:p>
      <w:pPr>
        <w:spacing w:after="140" w:before="0" w:line="312" w:lineRule="auto"/>
        <w:ind w:left="113"/>
      </w:pPr>
      <w:r>
        <w:rPr>
          <w:rFonts w:ascii="微软雅黑" w:hAnsi="微软雅黑" w:eastAsia="微软雅黑"/>
          <w:b w:val="0"/>
          <w:i w:val="0"/>
          <w:color w:val="202833"/>
          <w:sz w:val="22"/>
        </w:rPr>
        <w:t>人才端动作尤为值得关注：通知提出鼓励共建实训基地、发展前线部署工程师（FDE）等新职业方向，人工智能产业链的人才培育与评价体系正在政策层面加速成型，为人力资源服务业的AI培训、认证与人才供给业务打开新空间。</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BOSS直聘：市值创年内新高，股东回报与校招双线推进</w:t>
      </w:r>
    </w:p>
    <w:p>
      <w:pPr>
        <w:spacing w:after="140" w:before="0" w:line="312" w:lineRule="auto"/>
        <w:ind w:left="113"/>
      </w:pPr>
      <w:r>
        <w:rPr>
          <w:rFonts w:ascii="微软雅黑" w:hAnsi="微软雅黑" w:eastAsia="微软雅黑"/>
          <w:b w:val="0"/>
          <w:i w:val="0"/>
          <w:color w:val="202833"/>
          <w:sz w:val="22"/>
        </w:rPr>
        <w:t>在二季度业绩超预期（营收23.99亿元、经营利润同比增32.6%、MAU首破7000万）与股东回报计划的双重催化下，BOSS直聘股价创年内新高，总市值超过110亿美元，8月下旬港股一度站上90港元上方，较年内港股增发价66港元明显走高；公司同步将回购计划上限由1.5亿美元提升至2.5亿美元，年内派息加回购的股东回报总额超过上年经调整净利润的100%。</w:t>
      </w:r>
    </w:p>
    <w:p>
      <w:pPr>
        <w:spacing w:after="140" w:before="0" w:line="312" w:lineRule="auto"/>
        <w:ind w:left="113"/>
      </w:pPr>
      <w:r>
        <w:rPr>
          <w:rFonts w:ascii="微软雅黑" w:hAnsi="微软雅黑" w:eastAsia="微软雅黑"/>
          <w:b w:val="0"/>
          <w:i w:val="0"/>
          <w:color w:val="202833"/>
          <w:sz w:val="22"/>
        </w:rPr>
        <w:t>业务端，BOSS直聘于9月1日正式开启2026届校园招聘，面向毕业时间在2025年11月至2026年10月的海内外同学；其AI Agent战略持续向'匹配—深度沟通—面试—入职'的招聘闭环延伸。资本市场对在线招聘龙头的态度，正从'增长故事'转向'盈利质量+股东回报'的双重验证。</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秋招季开启：科技岗与AI岗成招聘重头，平台AI能力迎大考</w:t>
      </w:r>
    </w:p>
    <w:p>
      <w:pPr>
        <w:spacing w:after="140" w:before="0" w:line="312" w:lineRule="auto"/>
        <w:ind w:left="113"/>
      </w:pPr>
      <w:r>
        <w:rPr>
          <w:rFonts w:ascii="微软雅黑" w:hAnsi="微软雅黑" w:eastAsia="微软雅黑"/>
          <w:b w:val="0"/>
          <w:i w:val="0"/>
          <w:color w:val="202833"/>
          <w:sz w:val="22"/>
        </w:rPr>
        <w:t>随着9月到来，2026届秋季校园招聘全面铺开。从已披露信息看，各大银行2026年度校招中科技类岗位仍是招聘重头，部分国有大行总行新增AI岗位、交易岗等新方向；携程、高途、小马智行等企业亦先后启动2026届校招，研发类、AI类岗位供给旺盛。</w:t>
      </w:r>
    </w:p>
    <w:p>
      <w:pPr>
        <w:spacing w:after="140" w:before="0" w:line="312" w:lineRule="auto"/>
        <w:ind w:left="113"/>
      </w:pPr>
      <w:r>
        <w:rPr>
          <w:rFonts w:ascii="微软雅黑" w:hAnsi="微软雅黑" w:eastAsia="微软雅黑"/>
          <w:b w:val="0"/>
          <w:i w:val="0"/>
          <w:color w:val="202833"/>
          <w:sz w:val="22"/>
        </w:rPr>
        <w:t>对招聘平台而言，秋招季既是流量高峰，也是AI能力的分水岭：从简历解析、智能匹配到AI面试与offer管理，全流程AI化程度正成为企业选择渠道的核心标尺，智联招聘、BOSS直聘、前程无忧等平台围绕'AI+校招'的产品竞争明显升温。</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工会'短视频探厂'成招聘新形态：湖北老河口'工友小马'帮1200余人就业</w:t>
      </w:r>
    </w:p>
    <w:p>
      <w:pPr>
        <w:spacing w:after="140" w:before="0" w:line="312" w:lineRule="auto"/>
        <w:ind w:left="113"/>
      </w:pPr>
      <w:r>
        <w:rPr>
          <w:rFonts w:ascii="微软雅黑" w:hAnsi="微软雅黑" w:eastAsia="微软雅黑"/>
          <w:b w:val="0"/>
          <w:i w:val="0"/>
          <w:color w:val="202833"/>
          <w:sz w:val="22"/>
        </w:rPr>
        <w:t>据工人日报9月3日报道，针对'年轻人想留家乡却找不到工作、企业有岗位却招不来人'的结构性矛盾，湖北襄阳老河口市总工会打造'工友小马'服务品牌，用短视频替求职者提前'探厂'——工资多少、环境怎样、有无发展空间，不摆拍、不美化，把岗位真实一面呈现给求职者。一年多来已服务60余家企业，为1200多人找到意向工作。</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一案例折射出招聘信息供给侧的深刻变化：短视频与直播正在从'营销工具'变成'信任基础设施'，工会、政府背书+实景呈现的模式，为蓝领与县域就业市场的信息透明化提供了可复制样本。</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对外劳务数据更新：2026年1-7月派出各类劳务人员27.4万人</w:t>
      </w:r>
    </w:p>
    <w:p>
      <w:pPr>
        <w:spacing w:after="140" w:before="0" w:line="312" w:lineRule="auto"/>
        <w:ind w:left="113"/>
      </w:pPr>
      <w:r>
        <w:rPr>
          <w:rFonts w:ascii="微软雅黑" w:hAnsi="微软雅黑" w:eastAsia="微软雅黑"/>
          <w:b w:val="0"/>
          <w:i w:val="0"/>
          <w:color w:val="202833"/>
          <w:sz w:val="22"/>
        </w:rPr>
        <w:t>据商务部对外劳务合作业务统计，2026年1-7月我国企业共向境外派出各类劳务人员27.4万人，较上年同期增加4.3万人，其中承包工程项下派出劳务人员保持稳步增长，对外劳务合作规模延续回暖态势。</w:t>
      </w:r>
    </w:p>
    <w:p>
      <w:pPr>
        <w:spacing w:after="140" w:before="0" w:line="312" w:lineRule="auto"/>
        <w:ind w:left="113"/>
      </w:pPr>
      <w:r>
        <w:rPr>
          <w:rFonts w:ascii="微软雅黑" w:hAnsi="微软雅黑" w:eastAsia="微软雅黑"/>
          <w:b w:val="0"/>
          <w:i w:val="0"/>
          <w:color w:val="202833"/>
          <w:sz w:val="22"/>
        </w:rPr>
        <w:t>与规模扩张同步的是监管的精细化：四川省商务厅公布2026年8月具有对外劳务合作经营资格的企业名单并注明名单动态更新，地方常态化公示制度持续运行，'有资质、可查询'正成为务工人员识别正规渠道的重要依据，违规中介与境外高薪骗局的生存空间被进一步压缩。</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家政劳务协作模式升级：北京20条推动'一地培训、多地就业'</w:t>
      </w:r>
    </w:p>
    <w:p>
      <w:pPr>
        <w:spacing w:after="140" w:before="0" w:line="312" w:lineRule="auto"/>
        <w:ind w:left="113"/>
      </w:pPr>
      <w:r>
        <w:rPr>
          <w:rFonts w:ascii="微软雅黑" w:hAnsi="微软雅黑" w:eastAsia="微软雅黑"/>
          <w:b w:val="0"/>
          <w:i w:val="0"/>
          <w:color w:val="202833"/>
          <w:sz w:val="22"/>
        </w:rPr>
        <w:t>9月4日，北京市商务局等六部门发布《进一步提升居家照护服务质量 推进家政服务业健康发展工作实施方案》，提出20项具体举措，明确提升家政服务产业化、标准化、组织化、职业化水平，鼓励家政企业加快数字化转型，研发养老照护机器人、情感陪伴机器人等新技术新产品。</w:t>
      </w:r>
    </w:p>
    <w:p>
      <w:pPr>
        <w:spacing w:after="140" w:before="0" w:line="312" w:lineRule="auto"/>
        <w:ind w:left="113"/>
      </w:pPr>
      <w:r>
        <w:rPr>
          <w:rFonts w:ascii="微软雅黑" w:hAnsi="微软雅黑" w:eastAsia="微软雅黑"/>
          <w:b w:val="0"/>
          <w:i w:val="0"/>
          <w:color w:val="202833"/>
          <w:sz w:val="22"/>
        </w:rPr>
        <w:t>在劳务协作层面，方案提出推动京津冀三地资源共享、信息互通，探索开展家政职业教育联合办学和在劳务输出地前置家政培训，鼓励'一地培训、多地就业'，并逐步拓展至其他重点劳务协作省份。【重点】从'跨省输送劳动力'到'在输出地前置培训、按需定向输送'，劳务协作的颗粒度与含金量同步提升，家政等生活服务业正成为区域劳务协作的新增长极。</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天津工伤预防五年行动计划：即时配送列入重点领域，平台事故率要求5年降10%</w:t>
      </w:r>
    </w:p>
    <w:p>
      <w:pPr>
        <w:spacing w:after="140" w:before="0" w:line="312" w:lineRule="auto"/>
        <w:ind w:left="113"/>
      </w:pPr>
      <w:r>
        <w:rPr>
          <w:rFonts w:ascii="微软雅黑" w:hAnsi="微软雅黑" w:eastAsia="微软雅黑"/>
          <w:b w:val="0"/>
          <w:i w:val="0"/>
          <w:color w:val="202833"/>
          <w:sz w:val="22"/>
        </w:rPr>
        <w:t>天津市人社局、工信局、总工会等近日联合印发《天津市工伤预防五年行动计划（2026-2030年）实施方案》，将即时配送与危险化学品、制造业、建筑施工、交通运输并列为工伤预防重点领域，要求新就业形态人员职业伤害发生率逐步降低，重点平台企业职业伤害发生率5年降低10%以上。</w:t>
      </w:r>
    </w:p>
    <w:p>
      <w:pPr>
        <w:spacing w:after="140" w:before="0" w:line="312" w:lineRule="auto"/>
        <w:ind w:left="113"/>
      </w:pPr>
      <w:r>
        <w:rPr>
          <w:rFonts w:ascii="微软雅黑" w:hAnsi="微软雅黑" w:eastAsia="微软雅黑"/>
          <w:b w:val="0"/>
          <w:i w:val="0"/>
          <w:color w:val="202833"/>
          <w:sz w:val="22"/>
        </w:rPr>
        <w:t>方案明确加强即时配送行业职业伤害预防培训，聚焦平台企业及站点管理人员开展线上线下融合培训；同时探索'人工智能+工伤预防'新模式，依托数字社保系统实现'项目申报—评审立项—实施监督—绩效评估—建立档案'闭环管理，并鼓励用VR/AR技术丰富培训内容。【重点】天津方案将骑手职业伤害预防从'事后保障'前移至'事前治理'，并首次对平台企业设定量化的5年降幅目标，平台用工安全治理进入指标化新阶段。</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厦门骑手与平台面对面协商：四项共识落地，'规则共议'有了立法底气</w:t>
      </w:r>
    </w:p>
    <w:p>
      <w:pPr>
        <w:spacing w:after="140" w:before="0" w:line="312" w:lineRule="auto"/>
        <w:ind w:left="113"/>
      </w:pPr>
      <w:r>
        <w:rPr>
          <w:rFonts w:ascii="微软雅黑" w:hAnsi="微软雅黑" w:eastAsia="微软雅黑"/>
          <w:b w:val="0"/>
          <w:i w:val="0"/>
          <w:color w:val="202833"/>
          <w:sz w:val="22"/>
        </w:rPr>
        <w:t>据中工网9月3日报道，一场'新就业形态劳动者权益保障——骑手代表与平台代表现场协商会'在厦门思明区举行。协商源于8月14日6名骑手向工会反映：平台推行新跑单模式后，由'日在线8小时、保底39单'变为'在线接单不低于8小时、保底80单'，实际在岗时长普遍达10至13小时，计费改为多因素综合计算且不公开公式，'单量增加、收入反而缩水'。</w:t>
      </w:r>
    </w:p>
    <w:p>
      <w:pPr>
        <w:spacing w:after="140" w:before="0" w:line="312" w:lineRule="auto"/>
        <w:ind w:left="113"/>
      </w:pPr>
      <w:r>
        <w:rPr>
          <w:rFonts w:ascii="微软雅黑" w:hAnsi="微软雅黑" w:eastAsia="微软雅黑"/>
          <w:b w:val="0"/>
          <w:i w:val="0"/>
          <w:color w:val="202833"/>
          <w:sz w:val="22"/>
        </w:rPr>
        <w:t>经近两小时协商，双方达成四项共识：跑单自愿（不强制、不因不加入而辞退）、薪酬透明（核算系统测试完成后开放，工资条列明构成明细）、取消日保底80单硬性要求、平台主管下沉站点优化接单与排班系统，并签署《协商纪要》。协商背后有坚实的法治支撑——2026年1月1日起施行的《厦门经济特区网约配送员劳动权益保障若干规定》明确，企业制定涉及骑手权益的算法规则须征求工会和骑手代表意见，从立法层面赋予骑手'规则共议'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低价电话卡'退场'调查：骑手通信成本上升，专属套餐探索加速</w:t>
      </w:r>
    </w:p>
    <w:p>
      <w:pPr>
        <w:spacing w:after="140" w:before="0" w:line="312" w:lineRule="auto"/>
        <w:ind w:left="113"/>
      </w:pPr>
      <w:r>
        <w:rPr>
          <w:rFonts w:ascii="微软雅黑" w:hAnsi="微软雅黑" w:eastAsia="微软雅黑"/>
          <w:b w:val="0"/>
          <w:i w:val="0"/>
          <w:color w:val="202833"/>
          <w:sz w:val="22"/>
        </w:rPr>
        <w:t>据工人日报9月4日报道，三大运营商自8月1日起关停第三方互联网渠道售卡，微信平台同步规范售卡类服务内容后，曾风靡网络的低价流量卡加速退场。以外卖骑手为代表的新就业群体高度依赖大通话、大流量（每日通话20-30分钟、流量2-3个G），过去39元、59元的'骑士卡'已停止办理，目前北京市场满足配送需求的套餐约69元（500分钟+100G），新入行骑手通信成本明显上升。</w:t>
      </w:r>
    </w:p>
    <w:p>
      <w:pPr>
        <w:spacing w:after="140" w:before="0" w:line="312" w:lineRule="auto"/>
        <w:ind w:left="113"/>
      </w:pPr>
      <w:r>
        <w:rPr>
          <w:rFonts w:ascii="微软雅黑" w:hAnsi="微软雅黑" w:eastAsia="微软雅黑"/>
          <w:b w:val="0"/>
          <w:i w:val="0"/>
          <w:color w:val="202833"/>
          <w:sz w:val="22"/>
        </w:rPr>
        <w:t>对此，中国劳动关系学院专家建议运营商推出普惠性专属套餐为骑手'兜底'，平台可将通信补贴纳入与劳动者的商业协议。已有地方先行探索：辽宁阜新推出快递员等新就业群体专属'暖新卡'（41元档大流量长通话），海南儋州定制骑士'同新套餐'。【重点】一次渠道治理引发的'成本连锁反应'提示：面向新就业群体的公共政策调整，需要同步评估对底层劳动者的传导影响，平台、运营商与行业应共建成本分担机制。</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人力资源服务上市公司资本动作密集：BOSS直聘回购加码、科锐国际获券商力荐</w:t>
      </w:r>
    </w:p>
    <w:p>
      <w:pPr>
        <w:spacing w:after="140" w:before="0" w:line="312" w:lineRule="auto"/>
        <w:ind w:left="113"/>
      </w:pPr>
      <w:r>
        <w:rPr>
          <w:rFonts w:ascii="微软雅黑" w:hAnsi="微软雅黑" w:eastAsia="微软雅黑"/>
          <w:b w:val="0"/>
          <w:i w:val="0"/>
          <w:color w:val="202833"/>
          <w:sz w:val="22"/>
        </w:rPr>
        <w:t>本周人力资源赛道上市公司资本动作密集。BOSS直聘在业绩超预期后市值创年内新高（超110亿美元），将回购计划上限提升至2.5亿美元，年内股东回报总额已超上年经调整净利润100%，强化'现金牛+持续回报'的资本市场形象。</w:t>
      </w:r>
    </w:p>
    <w:p>
      <w:pPr>
        <w:spacing w:after="140" w:before="0" w:line="312" w:lineRule="auto"/>
        <w:ind w:left="113"/>
      </w:pPr>
      <w:r>
        <w:rPr>
          <w:rFonts w:ascii="微软雅黑" w:hAnsi="微软雅黑" w:eastAsia="微软雅黑"/>
          <w:b w:val="0"/>
          <w:i w:val="0"/>
          <w:color w:val="202833"/>
          <w:sz w:val="22"/>
        </w:rPr>
        <w:t>A股人力资源服务龙头科锐国际中报（营收81.19亿元、净利1.51亿元、同比增19.72%）披露后，多家券商跟进覆盖：太平洋证券给予买入评级并关注其AI赋能进展，信达证券维持'买入'并点评'业绩靓丽、AI应用深化'，市场对人力资源服务业的关注焦点持续聚焦'数字化能力+盈利质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政策资金双轮驱动：'数据标注'与'AI服务商'成地方招商与人才投资新赛道</w:t>
      </w:r>
    </w:p>
    <w:p>
      <w:pPr>
        <w:spacing w:after="140" w:before="0" w:line="312" w:lineRule="auto"/>
        <w:ind w:left="113"/>
      </w:pPr>
      <w:r>
        <w:rPr>
          <w:rFonts w:ascii="微软雅黑" w:hAnsi="微软雅黑" w:eastAsia="微软雅黑"/>
          <w:b w:val="0"/>
          <w:i w:val="0"/>
          <w:color w:val="202833"/>
          <w:sz w:val="22"/>
        </w:rPr>
        <w:t>据工人日报9月4日报道，贵州将数据标注作为数据产业核心赛道，全省数据标注企业已达135家、从业人员突破1.6万人：铜仁万山社区'AI豆计划'全国首个试点吸纳上百名搬迁群众，人均月收入4000-6000元；贵州省大数据局出台25条实施细则、统筹2亿元支持资金，按业务收入3%奖励企业，对一定规模企业给予100万至1000万元奖励，并联动推出'数据标注订单贷'。</w:t>
      </w:r>
    </w:p>
    <w:p>
      <w:pPr>
        <w:spacing w:after="140" w:before="0" w:line="312" w:lineRule="auto"/>
        <w:ind w:left="113"/>
      </w:pPr>
      <w:r>
        <w:rPr>
          <w:rFonts w:ascii="微软雅黑" w:hAnsi="微软雅黑" w:eastAsia="微软雅黑"/>
          <w:b w:val="0"/>
          <w:i w:val="0"/>
          <w:color w:val="202833"/>
          <w:sz w:val="22"/>
        </w:rPr>
        <w:t>叠加工信部人工智能应用服务商培育专项行动提出的实训基地共建与FDE工程师培育，一条'政策资金引导—AI基础岗位扩容—人力资源机构对接供给'的投资与就业链条正在成型。【重点】数据标注、AI训练师等岗位的规模化出现，既是就业增量，也是人力资源服务商切入AI人才赛道的窗口期；但需警惕低门槛岗位的收入天花板与职业晋升通道设计。</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事件：灵活就业者医保'大门'全面打开——6982万参保人背后的制度重构</w:t>
      </w:r>
    </w:p>
    <w:p>
      <w:pPr>
        <w:spacing w:after="140" w:before="0" w:line="312" w:lineRule="auto"/>
        <w:ind w:left="113"/>
      </w:pPr>
      <w:r>
        <w:rPr>
          <w:rFonts w:ascii="微软雅黑" w:hAnsi="微软雅黑" w:eastAsia="微软雅黑"/>
          <w:b w:val="0"/>
          <w:i w:val="0"/>
          <w:color w:val="202833"/>
          <w:sz w:val="22"/>
        </w:rPr>
        <w:t>【事件回顾】9月4日国新办发布会上，国家医保局宣布系列新政：超大城市全面取消就业地、常住地参保户籍限制；灵活就业人员职工医保缴费年限按月累计，零散缴费时间皆可计入；支持按季度、半年、全年预缴；推动平台企业为从业人员采取适宜缴费方式；推行'灵活就业参保一件事'集成服务，个人账户支持跨省共济、近亲属共享。2025年灵活就业等其他人员参加职工医保已达6982.18万人，同比增5.54%。</w:t>
      </w:r>
    </w:p>
    <w:p>
      <w:pPr>
        <w:spacing w:after="140" w:before="0" w:line="312" w:lineRule="auto"/>
        <w:ind w:left="113"/>
      </w:pPr>
      <w:r>
        <w:rPr>
          <w:rFonts w:ascii="微软雅黑" w:hAnsi="微软雅黑" w:eastAsia="微软雅黑"/>
          <w:b w:val="0"/>
          <w:i w:val="0"/>
          <w:color w:val="202833"/>
          <w:sz w:val="22"/>
        </w:rPr>
        <w:t>【深度解读】此次新政的突破性在于三组'打通'：其一，打通地域——户籍限制取消叠加个人账户跨省共济，回应了灵活就业者'工作地、常住地频繁变动'的流动性痛点；其二，打通年限——居民医保年限折算职工医保、职工医保按月累计，让外卖骑手、网约车司机等'阶段性参保'人群的每一段缴费都不再白缴；其三，打通主体——鼓励平台企业以适宜方式为从业人员缴费，意味着平台用工的社保责任从'可选项'走向'引导项'。</w:t>
      </w:r>
    </w:p>
    <w:p>
      <w:pPr>
        <w:spacing w:after="140" w:before="0" w:line="312" w:lineRule="auto"/>
        <w:ind w:left="113"/>
      </w:pPr>
      <w:r>
        <w:rPr>
          <w:rFonts w:ascii="微软雅黑" w:hAnsi="微软雅黑" w:eastAsia="微软雅黑"/>
          <w:b w:val="0"/>
          <w:i w:val="0"/>
          <w:color w:val="202833"/>
          <w:sz w:val="22"/>
        </w:rPr>
        <w:t>【影响研判】对人力资源行业而言，这既是灵活用工合规化的重大利好（用工成本结构将更透明），也对人力资源服务机构的社保代理、薪酬税务等专业服务能力提出更高要求。值得注意的配套信号是：生育保险覆盖灵活就业人员、医保服务站点下沉社区等举措，显示新就业形态保障正从'单点突破'走向以社保为核心的'体系化建设'。对平台企业，主动为骑手、司机等缴纳职工医保，将从'成本负担'逐渐转化为'运力稳定与雇主品牌'的双重回报。</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趋势研判：新就业形态保障'制度化成网'、AI重塑就业结构、劳务协作颗粒度升级</w:t>
      </w:r>
    </w:p>
    <w:p>
      <w:pPr>
        <w:spacing w:after="140" w:before="0" w:line="312" w:lineRule="auto"/>
        <w:ind w:left="113"/>
      </w:pPr>
      <w:r>
        <w:rPr>
          <w:rFonts w:ascii="微软雅黑" w:hAnsi="微软雅黑" w:eastAsia="微软雅黑"/>
          <w:b w:val="0"/>
          <w:i w:val="0"/>
          <w:color w:val="202833"/>
          <w:sz w:val="22"/>
        </w:rPr>
        <w:t>趋势一：新就业形态保障从试点走向制度化。医保参保松绑（国新办9·4发布会）、工伤预防指标化（天津五年行动）、算法规则共议（厦门协商与特区立法）在同一个星期内密集落地，标志灵活用工治理进入'社保+职伤+算法'三位一体的制度化深水区，具备合规能力的平台与服务机构将获得结构性红利。</w:t>
      </w:r>
    </w:p>
    <w:p>
      <w:pPr>
        <w:spacing w:after="140" w:before="0" w:line="312" w:lineRule="auto"/>
        <w:ind w:left="113"/>
      </w:pPr>
      <w:r>
        <w:rPr>
          <w:rFonts w:ascii="微软雅黑" w:hAnsi="微软雅黑" w:eastAsia="微软雅黑"/>
          <w:b w:val="0"/>
          <w:i w:val="0"/>
          <w:color w:val="202833"/>
          <w:sz w:val="22"/>
        </w:rPr>
        <w:t>趋势二：AI既创造岗位也重塑岗位。数据标注从业者1.6万人（贵州）、FDE工程师等新职业获政策点名，'AI基础岗位+AI服务商'成为就业增量；但招聘端AI能力竞争白热化，也要求劳动者技能结构加速迭代，'培训即就业'模式（贵州数据标注订单班、家政前置培训）有望在全国复制。</w:t>
      </w:r>
    </w:p>
    <w:p>
      <w:pPr>
        <w:spacing w:after="140" w:before="0" w:line="312" w:lineRule="auto"/>
        <w:ind w:left="113"/>
      </w:pPr>
      <w:r>
        <w:rPr>
          <w:rFonts w:ascii="微软雅黑" w:hAnsi="微软雅黑" w:eastAsia="微软雅黑"/>
          <w:b w:val="0"/>
          <w:i w:val="0"/>
          <w:color w:val="202833"/>
          <w:sz w:val="22"/>
        </w:rPr>
        <w:t>趋势三：家政与劳务协作从'输送'走向'共育'。北京20条推动'劳务输出地前置培训、一地培训多地就业'，家政职业技能大赛本科以上选手占比升至61%，'品牌化+技能化+组织化'成为生活服务业劳务协作的明确方向。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风险提示：政策传导的次生影响、权益边界与合规红线需重点关注</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一：治理举措的'次生成本'需防误伤。三大运营商关停第三方售卡渠道后骑手通信成本上升即为典型案例——合规治理的初衷正当，但政策出台需同步评估对低收入灵活就业群体的传导影响，宜以'暖新卡'式普惠套餐、平台补贴等缓冲机制对冲。</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二：用工管理的隐私与休息权边界。'强制员工发朋友圈被法院认定不当并判赔'（上海一中院案例）提示：企业将管理触角伸向员工私人社交空间，存在侵犯隐私权、构成'隐形加班'的赔偿风险；涉及员工社交账号、非工作时间任务等管理动作，应在劳动合同中明确约定并尊重员工自主权。</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三：AI就业扩容与劳动保护赛跑。数据标注、AI训练等新岗位扩张迅速，但低门槛岗位收入天花板、长时间屏幕作业的职业健康、算法计件的劳动强度等问题尚未有专门规范，建议人力资源服务机构在批量输送此类岗位时前置做好职业健康与权益设计，避免'新业态老问题'重演。</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人力资源行业的主旋律是'制度的密度'：医保、工伤、算法规则在同一条时间轴上加速成网，灵活用工的合规水位系统性抬升；对从业机构而言，谁能把政策红利转化为合规服务能力与AI人才供给能力，谁就站在了下一轮行业分化的有利一侧。</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生成时间：2026-09-05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