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报告周期：2026年8月31日 — 9月6日（滚动一周）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AI正在从招聘平台的'辅助工具'升级为'业务引擎'——BOSS直聘以AI闭环服务打开第二增长曲线、智联招聘与北大国发院共议'人机协同'组织进化、贵州以数据标注产业实现'培训即就业'；与此同时，灵活就业者的社保与权益保障制度继续加码，对外劳务市场则在合规监管与诈骗风险的对冲中前行。</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BOSS直聘发布求职安全提示：警惕以'面试考核''岗前培训'为名的刷单诈骗新套路（9月2日）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智联招聘携手北大国发院举办成都论坛，聚焦'经济重塑与AI革命下的组织与人'（9月3日）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国家医保局：推动灵活就业人员等重点人群参加职工医保，取消就业地参保户籍限制（9月4日）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全总明确2026年支持建设600个全国劳模工匠创新工作室，每个补助10万元（9月4-5日）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贵州数据标注从业者突破1.6万人，'培训即就业'模式加速复制（9月4日）</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科锐国际2026年中报营收净利双增，AI战略进入价值释放期（8月27日披露）</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医保新政落地：灵活就业人员参加职工医保迎来系统性松绑</w:t>
      </w:r>
    </w:p>
    <w:p>
      <w:pPr>
        <w:spacing w:after="140" w:before="0" w:line="312" w:lineRule="auto"/>
        <w:ind w:left="113"/>
      </w:pPr>
      <w:r>
        <w:rPr>
          <w:rFonts w:ascii="微软雅黑" w:hAnsi="微软雅黑" w:eastAsia="微软雅黑"/>
          <w:b w:val="0"/>
          <w:i w:val="0"/>
          <w:color w:val="202833"/>
          <w:sz w:val="22"/>
        </w:rPr>
        <w:t>9月4日，国家医保局在国新办'开局起步十五五'系列主题新闻发布会上宣布，将针对灵活就业人员工作、地域变动频繁的特点，从参保、缴费等方面推出系列措施：持续推动超大城市全面取消就业地、常住地参保户籍限制；探索将连续参加居民医保缴费年限折算为当地职工医保年限；职工医保缴费年限允许按月累计；对灵活就业人员实行月缴并探索按季度、半年、全年预缴的灵活模式，同时鼓励平台企业对符合条件的从业人员采取适宜缴费方式。这是继去年医保参保长效机制后的又一制度性突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全总2026年支持建设600个劳模工匠创新工作室</w:t>
      </w:r>
    </w:p>
    <w:p>
      <w:pPr>
        <w:spacing w:after="140" w:before="0" w:line="312" w:lineRule="auto"/>
        <w:ind w:left="113"/>
      </w:pPr>
      <w:r>
        <w:rPr>
          <w:rFonts w:ascii="微软雅黑" w:hAnsi="微软雅黑" w:eastAsia="微软雅黑"/>
          <w:b w:val="0"/>
          <w:i w:val="0"/>
          <w:color w:val="202833"/>
          <w:sz w:val="22"/>
        </w:rPr>
        <w:t>全国总工会近日印发通知，确定2026年支持建设600个全国劳模工匠创新工作室，每个工作室给予10万元补助资金。支持建设工作紧扣'十五五'规划部署，重点面向提质升级的重点传统产业、加速壮大的新兴产业及前瞻布局的未来产业。据统计，入选工作室近3年累计取得创新成果3.2万个，获得专利1.92万项，培养各类技能人才13.7万人。按规划，到2030年全国总工会支持建设的创新工作室将达到3000家，各级创新工作室达16万家。</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'AI豆计划'样本：贵州数据标注从业者突破1.6万人</w:t>
      </w:r>
    </w:p>
    <w:p>
      <w:pPr>
        <w:spacing w:after="140" w:before="0" w:line="312" w:lineRule="auto"/>
        <w:ind w:left="113"/>
      </w:pPr>
      <w:r>
        <w:rPr>
          <w:rFonts w:ascii="微软雅黑" w:hAnsi="微软雅黑" w:eastAsia="微软雅黑"/>
          <w:b w:val="0"/>
          <w:i w:val="0"/>
          <w:color w:val="202833"/>
          <w:sz w:val="22"/>
        </w:rPr>
        <w:t>据工人日报9月4日报道，作为全国首个试点'AI豆计划'的社区，贵州铜仁万山区旺家社区已吸纳上百名搬迁群众从事数据标注，人均月收入4000-6000元。截至7月底，贵州全省数据标注企业已达135家，从业者突破1.6万人。贵州省大数据局推出25条实施细则，统筹2亿元支持资金，按业务收入3%给予企业奖励，并推出'数据标注订单贷'。按照规划，今年贵州数据标注从业人员将突破2万人，'做标注、到贵州'品牌持续打响。</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政策面与产业面同频共振：医保参保松绑直击灵活用工'参保难'痛点，劳模工作室加码指向技能人才供给，数据标注产业则展示了AI时代'低门槛岗位+高质量就业'的新范式。行业正从'保就业数量'转向'优就业结构、强技能供给'。</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BOSS直聘：发布求职安全提示，揭批刷单诈骗'新包装'</w:t>
      </w:r>
    </w:p>
    <w:p>
      <w:pPr>
        <w:spacing w:after="140" w:before="0" w:line="312" w:lineRule="auto"/>
        <w:ind w:left="113"/>
      </w:pPr>
      <w:r>
        <w:rPr>
          <w:rFonts w:ascii="微软雅黑" w:hAnsi="微软雅黑" w:eastAsia="微软雅黑"/>
          <w:b w:val="0"/>
          <w:i w:val="0"/>
          <w:color w:val="202833"/>
          <w:sz w:val="22"/>
        </w:rPr>
        <w:t>9月2日，BOSS直聘发布求职安全提示公告。平台巡查发现，部分不法分子以'面试考核''岗前培训'名义诱导求职者垫资充值：有求职者被要求下载陌生App完成'代购任务'，有人被诱导垫资380元购买不支持退款的演唱会门票，还有'客服岗前培训'实为充值返利骗局，单笔诱导充值最高达10.8万元。平台指出，诈骗手法已从单纯话术升级为'真实退款+小额返利'降低警惕的隐蔽模式，提醒求职者：培训考核若涉及个人垫资、充值、转账或购买与岗位无关商品，应立即停止操作并举报。</w:t>
      </w:r>
    </w:p>
    <w:tbl>
      <w:tblPr>
        <w:tblW w:type="auto" w:w="0"/>
        <w:jc w:val="center"/>
        <w:tblLook w:firstColumn="1" w:firstRow="1" w:lastColumn="0" w:lastRow="0" w:noHBand="0" w:noVBand="1" w:val="04A0"/>
      </w:tblPr>
      <w:tblGrid>
        <w:gridCol w:w="3324"/>
        <w:gridCol w:w="3324"/>
        <w:gridCol w:w="3324"/>
      </w:tblGrid>
      <w:tr>
        <w:tc>
          <w:tcPr>
            <w:tcW w:type="dxa" w:w="1247"/>
            <w:vAlign w:val="center"/>
            <w:shd w:val="clear" w:fill="0F2452"/>
          </w:tcPr>
          <w:p>
            <w:pPr>
              <w:jc w:val="center"/>
            </w:pPr>
            <w:r/>
            <w:r>
              <w:rPr>
                <w:rFonts w:ascii="微软雅黑" w:hAnsi="微软雅黑" w:eastAsia="微软雅黑"/>
                <w:b/>
                <w:i w:val="0"/>
                <w:color w:val="FFFFFF"/>
                <w:sz w:val="21"/>
              </w:rPr>
              <w:t>时间</w:t>
            </w:r>
          </w:p>
        </w:tc>
        <w:tc>
          <w:tcPr>
            <w:tcW w:type="dxa" w:w="2551"/>
            <w:vAlign w:val="center"/>
            <w:shd w:val="clear" w:fill="0F2452"/>
          </w:tcPr>
          <w:p>
            <w:pPr>
              <w:jc w:val="center"/>
            </w:pPr>
            <w:r/>
            <w:r>
              <w:rPr>
                <w:rFonts w:ascii="微软雅黑" w:hAnsi="微软雅黑" w:eastAsia="微软雅黑"/>
                <w:b/>
                <w:i w:val="0"/>
                <w:color w:val="FFFFFF"/>
                <w:sz w:val="21"/>
              </w:rPr>
              <w:t>事件</w:t>
            </w:r>
          </w:p>
        </w:tc>
        <w:tc>
          <w:tcPr>
            <w:tcW w:type="dxa" w:w="4252"/>
            <w:vAlign w:val="center"/>
            <w:shd w:val="clear" w:fill="0F2452"/>
          </w:tcPr>
          <w:p>
            <w:pPr>
              <w:jc w:val="center"/>
            </w:pPr>
            <w:r/>
            <w:r>
              <w:rPr>
                <w:rFonts w:ascii="微软雅黑" w:hAnsi="微软雅黑" w:eastAsia="微软雅黑"/>
                <w:b/>
                <w:i w:val="0"/>
                <w:color w:val="FFFFFF"/>
                <w:sz w:val="21"/>
              </w:rPr>
              <w:t>要点</w:t>
            </w:r>
          </w:p>
        </w:tc>
      </w:tr>
      <w:tr>
        <w:tc>
          <w:tcPr>
            <w:tcW w:type="dxa" w:w="1247"/>
            <w:vAlign w:val="center"/>
          </w:tcPr>
          <w:p>
            <w:pPr>
              <w:jc w:val="center"/>
            </w:pPr>
            <w:r/>
            <w:r>
              <w:rPr>
                <w:rFonts w:ascii="微软雅黑" w:hAnsi="微软雅黑" w:eastAsia="微软雅黑"/>
                <w:b w:val="0"/>
                <w:i w:val="0"/>
                <w:color w:val="202833"/>
                <w:sz w:val="20"/>
              </w:rPr>
              <w:t>9月2日</w:t>
            </w:r>
          </w:p>
        </w:tc>
        <w:tc>
          <w:tcPr>
            <w:tcW w:type="dxa" w:w="2551"/>
            <w:vAlign w:val="center"/>
          </w:tcPr>
          <w:p>
            <w:pPr>
              <w:jc w:val="center"/>
            </w:pPr>
            <w:r/>
            <w:r>
              <w:rPr>
                <w:rFonts w:ascii="微软雅黑" w:hAnsi="微软雅黑" w:eastAsia="微软雅黑"/>
                <w:b w:val="0"/>
                <w:i w:val="0"/>
                <w:color w:val="202833"/>
                <w:sz w:val="20"/>
              </w:rPr>
              <w:t>求职安全提示公告</w:t>
            </w:r>
          </w:p>
        </w:tc>
        <w:tc>
          <w:tcPr>
            <w:tcW w:type="dxa" w:w="4252"/>
            <w:vAlign w:val="center"/>
          </w:tcPr>
          <w:p>
            <w:pPr>
              <w:jc w:val="center"/>
            </w:pPr>
            <w:r/>
            <w:r>
              <w:rPr>
                <w:rFonts w:ascii="微软雅黑" w:hAnsi="微软雅黑" w:eastAsia="微软雅黑"/>
                <w:b w:val="0"/>
                <w:i w:val="0"/>
                <w:color w:val="202833"/>
                <w:sz w:val="20"/>
              </w:rPr>
              <w:t>警惕'考核'式垫资充值骗局，最高单笔10.8万元</w:t>
            </w:r>
          </w:p>
        </w:tc>
      </w:tr>
      <w:tr>
        <w:tc>
          <w:tcPr>
            <w:tcW w:type="dxa" w:w="1247"/>
            <w:vAlign w:val="center"/>
            <w:shd w:val="clear" w:fill="EAF1FB"/>
          </w:tcPr>
          <w:p>
            <w:pPr>
              <w:jc w:val="center"/>
            </w:pPr>
            <w:r/>
            <w:r>
              <w:rPr>
                <w:rFonts w:ascii="微软雅黑" w:hAnsi="微软雅黑" w:eastAsia="微软雅黑"/>
                <w:b w:val="0"/>
                <w:i w:val="0"/>
                <w:color w:val="202833"/>
                <w:sz w:val="20"/>
              </w:rPr>
              <w:t>9月4日</w:t>
            </w:r>
          </w:p>
        </w:tc>
        <w:tc>
          <w:tcPr>
            <w:tcW w:type="dxa" w:w="2551"/>
            <w:vAlign w:val="center"/>
            <w:shd w:val="clear" w:fill="EAF1FB"/>
          </w:tcPr>
          <w:p>
            <w:pPr>
              <w:jc w:val="center"/>
            </w:pPr>
            <w:r/>
            <w:r>
              <w:rPr>
                <w:rFonts w:ascii="微软雅黑" w:hAnsi="微软雅黑" w:eastAsia="微软雅黑"/>
                <w:b w:val="0"/>
                <w:i w:val="0"/>
                <w:color w:val="202833"/>
                <w:sz w:val="20"/>
              </w:rPr>
              <w:t>中概股盘前普涨</w:t>
            </w:r>
          </w:p>
        </w:tc>
        <w:tc>
          <w:tcPr>
            <w:tcW w:type="dxa" w:w="4252"/>
            <w:vAlign w:val="center"/>
            <w:shd w:val="clear" w:fill="EAF1FB"/>
          </w:tcPr>
          <w:p>
            <w:pPr>
              <w:jc w:val="center"/>
            </w:pPr>
            <w:r/>
            <w:r>
              <w:rPr>
                <w:rFonts w:ascii="微软雅黑" w:hAnsi="微软雅黑" w:eastAsia="微软雅黑"/>
                <w:b w:val="0"/>
                <w:i w:val="0"/>
                <w:color w:val="202833"/>
                <w:sz w:val="20"/>
              </w:rPr>
              <w:t>BOSS直聘盘前涨约4%，延续财报后上行态势</w:t>
            </w:r>
          </w:p>
        </w:tc>
      </w:tr>
      <w:tr>
        <w:tc>
          <w:tcPr>
            <w:tcW w:type="dxa" w:w="1247"/>
            <w:vAlign w:val="center"/>
          </w:tcPr>
          <w:p>
            <w:pPr>
              <w:jc w:val="center"/>
            </w:pPr>
            <w:r/>
            <w:r>
              <w:rPr>
                <w:rFonts w:ascii="微软雅黑" w:hAnsi="微软雅黑" w:eastAsia="微软雅黑"/>
                <w:b w:val="0"/>
                <w:i w:val="0"/>
                <w:color w:val="202833"/>
                <w:sz w:val="20"/>
              </w:rPr>
              <w:t>8月下旬</w:t>
            </w:r>
          </w:p>
        </w:tc>
        <w:tc>
          <w:tcPr>
            <w:tcW w:type="dxa" w:w="2551"/>
            <w:vAlign w:val="center"/>
          </w:tcPr>
          <w:p>
            <w:pPr>
              <w:jc w:val="center"/>
            </w:pPr>
            <w:r/>
            <w:r>
              <w:rPr>
                <w:rFonts w:ascii="微软雅黑" w:hAnsi="微软雅黑" w:eastAsia="微软雅黑"/>
                <w:b w:val="0"/>
                <w:i w:val="0"/>
                <w:color w:val="202833"/>
                <w:sz w:val="20"/>
              </w:rPr>
              <w:t>二季度财报</w:t>
            </w:r>
          </w:p>
        </w:tc>
        <w:tc>
          <w:tcPr>
            <w:tcW w:type="dxa" w:w="4252"/>
            <w:vAlign w:val="center"/>
          </w:tcPr>
          <w:p>
            <w:pPr>
              <w:jc w:val="center"/>
            </w:pPr>
            <w:r/>
            <w:r>
              <w:rPr>
                <w:rFonts w:ascii="微软雅黑" w:hAnsi="微软雅黑" w:eastAsia="微软雅黑"/>
                <w:b w:val="0"/>
                <w:i w:val="0"/>
                <w:color w:val="202833"/>
                <w:sz w:val="20"/>
              </w:rPr>
              <w:t>营收及利润增长提速，多家投行上调目标价</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智联招聘：携手北大国发院共议'AI革命下的组织与人'</w:t>
      </w:r>
    </w:p>
    <w:p>
      <w:pPr>
        <w:spacing w:after="140" w:before="0" w:line="312" w:lineRule="auto"/>
        <w:ind w:left="113"/>
      </w:pPr>
      <w:r>
        <w:rPr>
          <w:rFonts w:ascii="微软雅黑" w:hAnsi="微软雅黑" w:eastAsia="微软雅黑"/>
          <w:b w:val="0"/>
          <w:i w:val="0"/>
          <w:color w:val="202833"/>
          <w:sz w:val="22"/>
        </w:rPr>
        <w:t>近日，智联招聘与北大国发院联合主办的成都论坛暨818HR节主题论坛举行，主题为'经济重塑与AI革命双重挑战下的组织与人'。智联招聘副总裁李强提出：AI承担重复性工作后，岗位正被重新定义，AI产品经理、训练师、工程师等新岗位持续增长；AI时代需要的人才正从'会技能'走向'会进化'，且AI可能成为中年职场人的'能力放大器'。会上透露，2026年中国年度最佳雇主评选主题已从'人机共生'升级为'和AI一起进化'。此前8月31日，智联招聘还发布了医药行业薪酬报告，显示'医药+AI+数据'复合型岗位薪酬突出。</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头部招聘平台的分化格局愈发清晰：BOSS直聘以'AI闭环服务'与商业化为矛、以求职安全治理为盾，巩固现金流基本盘；智联招聘则走'智库+雇主品牌+行业报告'路线卡位AI时代人才标准话语权。共同信号是——招聘平台的竞争已从'信息撮合效率'转向'安全可信+AI服务深度'。</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对外劳务合作经营资格管理趋严：地方密集公示新增与年审名单</w:t>
      </w:r>
    </w:p>
    <w:p>
      <w:pPr>
        <w:spacing w:after="140" w:before="0" w:line="312" w:lineRule="auto"/>
        <w:ind w:left="113"/>
      </w:pPr>
      <w:r>
        <w:rPr>
          <w:rFonts w:ascii="微软雅黑" w:hAnsi="微软雅黑" w:eastAsia="微软雅黑"/>
          <w:b w:val="0"/>
          <w:i w:val="0"/>
          <w:color w:val="202833"/>
          <w:sz w:val="22"/>
        </w:rPr>
        <w:t>本周前后，多地商务部门密集更新对外劳务合作企业名单与许可公示：南昌市商务局先后公示拟核准江西和盾控股、金手指人力资源集团对外劳务合作经营资格；大连市商务局更新名单并提醒'想出国务工认准这70家企业'；此前厦门12家企业通过2026年度对外劳务合作经营资格年审。监管层面对经营资质的'进出双向管理'明显收紧，无资质企业从事对外劳务的空间被持续压缩。</w:t>
      </w:r>
    </w:p>
    <w:tbl>
      <w:tblPr>
        <w:tblW w:type="auto" w:w="0"/>
        <w:jc w:val="center"/>
        <w:tblLook w:firstColumn="1" w:firstRow="1" w:lastColumn="0" w:lastRow="0" w:noHBand="0" w:noVBand="1" w:val="04A0"/>
      </w:tblPr>
      <w:tblGrid>
        <w:gridCol w:w="3324"/>
        <w:gridCol w:w="3324"/>
        <w:gridCol w:w="3324"/>
      </w:tblGrid>
      <w:tr>
        <w:tc>
          <w:tcPr>
            <w:tcW w:type="dxa" w:w="1247"/>
            <w:vAlign w:val="center"/>
            <w:shd w:val="clear" w:fill="0F2452"/>
          </w:tcPr>
          <w:p>
            <w:pPr>
              <w:jc w:val="center"/>
            </w:pPr>
            <w:r/>
            <w:r>
              <w:rPr>
                <w:rFonts w:ascii="微软雅黑" w:hAnsi="微软雅黑" w:eastAsia="微软雅黑"/>
                <w:b/>
                <w:i w:val="0"/>
                <w:color w:val="FFFFFF"/>
                <w:sz w:val="21"/>
              </w:rPr>
              <w:t>地区</w:t>
            </w:r>
          </w:p>
        </w:tc>
        <w:tc>
          <w:tcPr>
            <w:tcW w:type="dxa" w:w="3118"/>
            <w:vAlign w:val="center"/>
            <w:shd w:val="clear" w:fill="0F2452"/>
          </w:tcPr>
          <w:p>
            <w:pPr>
              <w:jc w:val="center"/>
            </w:pPr>
            <w:r/>
            <w:r>
              <w:rPr>
                <w:rFonts w:ascii="微软雅黑" w:hAnsi="微软雅黑" w:eastAsia="微软雅黑"/>
                <w:b/>
                <w:i w:val="0"/>
                <w:color w:val="FFFFFF"/>
                <w:sz w:val="21"/>
              </w:rPr>
              <w:t>动作</w:t>
            </w:r>
          </w:p>
        </w:tc>
        <w:tc>
          <w:tcPr>
            <w:tcW w:type="dxa" w:w="3685"/>
            <w:vAlign w:val="center"/>
            <w:shd w:val="clear" w:fill="0F2452"/>
          </w:tcPr>
          <w:p>
            <w:pPr>
              <w:jc w:val="center"/>
            </w:pPr>
            <w:r/>
            <w:r>
              <w:rPr>
                <w:rFonts w:ascii="微软雅黑" w:hAnsi="微软雅黑" w:eastAsia="微软雅黑"/>
                <w:b/>
                <w:i w:val="0"/>
                <w:color w:val="FFFFFF"/>
                <w:sz w:val="21"/>
              </w:rPr>
              <w:t>信号</w:t>
            </w:r>
          </w:p>
        </w:tc>
      </w:tr>
      <w:tr>
        <w:tc>
          <w:tcPr>
            <w:tcW w:type="dxa" w:w="1247"/>
            <w:vAlign w:val="center"/>
          </w:tcPr>
          <w:p>
            <w:pPr>
              <w:jc w:val="center"/>
            </w:pPr>
            <w:r/>
            <w:r>
              <w:rPr>
                <w:rFonts w:ascii="微软雅黑" w:hAnsi="微软雅黑" w:eastAsia="微软雅黑"/>
                <w:b w:val="0"/>
                <w:i w:val="0"/>
                <w:color w:val="202833"/>
                <w:sz w:val="20"/>
              </w:rPr>
              <w:t>南昌</w:t>
            </w:r>
          </w:p>
        </w:tc>
        <w:tc>
          <w:tcPr>
            <w:tcW w:type="dxa" w:w="3118"/>
            <w:vAlign w:val="center"/>
          </w:tcPr>
          <w:p>
            <w:pPr>
              <w:jc w:val="center"/>
            </w:pPr>
            <w:r/>
            <w:r>
              <w:rPr>
                <w:rFonts w:ascii="微软雅黑" w:hAnsi="微软雅黑" w:eastAsia="微软雅黑"/>
                <w:b w:val="0"/>
                <w:i w:val="0"/>
                <w:color w:val="202833"/>
                <w:sz w:val="20"/>
              </w:rPr>
              <w:t>拟核准2家企业劳务合作资格</w:t>
            </w:r>
          </w:p>
        </w:tc>
        <w:tc>
          <w:tcPr>
            <w:tcW w:type="dxa" w:w="3685"/>
            <w:vAlign w:val="center"/>
          </w:tcPr>
          <w:p>
            <w:pPr>
              <w:jc w:val="center"/>
            </w:pPr>
            <w:r/>
            <w:r>
              <w:rPr>
                <w:rFonts w:ascii="微软雅黑" w:hAnsi="微软雅黑" w:eastAsia="微软雅黑"/>
                <w:b w:val="0"/>
                <w:i w:val="0"/>
                <w:color w:val="202833"/>
                <w:sz w:val="20"/>
              </w:rPr>
              <w:t>资质准入动态管理</w:t>
            </w:r>
          </w:p>
        </w:tc>
      </w:tr>
      <w:tr>
        <w:tc>
          <w:tcPr>
            <w:tcW w:type="dxa" w:w="1247"/>
            <w:vAlign w:val="center"/>
            <w:shd w:val="clear" w:fill="EAF1FB"/>
          </w:tcPr>
          <w:p>
            <w:pPr>
              <w:jc w:val="center"/>
            </w:pPr>
            <w:r/>
            <w:r>
              <w:rPr>
                <w:rFonts w:ascii="微软雅黑" w:hAnsi="微软雅黑" w:eastAsia="微软雅黑"/>
                <w:b w:val="0"/>
                <w:i w:val="0"/>
                <w:color w:val="202833"/>
                <w:sz w:val="20"/>
              </w:rPr>
              <w:t>大连</w:t>
            </w:r>
          </w:p>
        </w:tc>
        <w:tc>
          <w:tcPr>
            <w:tcW w:type="dxa" w:w="3118"/>
            <w:vAlign w:val="center"/>
            <w:shd w:val="clear" w:fill="EAF1FB"/>
          </w:tcPr>
          <w:p>
            <w:pPr>
              <w:jc w:val="center"/>
            </w:pPr>
            <w:r/>
            <w:r>
              <w:rPr>
                <w:rFonts w:ascii="微软雅黑" w:hAnsi="微软雅黑" w:eastAsia="微软雅黑"/>
                <w:b w:val="0"/>
                <w:i w:val="0"/>
                <w:color w:val="202833"/>
                <w:sz w:val="20"/>
              </w:rPr>
              <w:t>更新合规企业名单（70家）</w:t>
            </w:r>
          </w:p>
        </w:tc>
        <w:tc>
          <w:tcPr>
            <w:tcW w:type="dxa" w:w="3685"/>
            <w:vAlign w:val="center"/>
            <w:shd w:val="clear" w:fill="EAF1FB"/>
          </w:tcPr>
          <w:p>
            <w:pPr>
              <w:jc w:val="center"/>
            </w:pPr>
            <w:r/>
            <w:r>
              <w:rPr>
                <w:rFonts w:ascii="微软雅黑" w:hAnsi="微软雅黑" w:eastAsia="微软雅黑"/>
                <w:b w:val="0"/>
                <w:i w:val="0"/>
                <w:color w:val="202833"/>
                <w:sz w:val="20"/>
              </w:rPr>
              <w:t>引导认准正规机构</w:t>
            </w:r>
          </w:p>
        </w:tc>
      </w:tr>
      <w:tr>
        <w:tc>
          <w:tcPr>
            <w:tcW w:type="dxa" w:w="1247"/>
            <w:vAlign w:val="center"/>
          </w:tcPr>
          <w:p>
            <w:pPr>
              <w:jc w:val="center"/>
            </w:pPr>
            <w:r/>
            <w:r>
              <w:rPr>
                <w:rFonts w:ascii="微软雅黑" w:hAnsi="微软雅黑" w:eastAsia="微软雅黑"/>
                <w:b w:val="0"/>
                <w:i w:val="0"/>
                <w:color w:val="202833"/>
                <w:sz w:val="20"/>
              </w:rPr>
              <w:t>厦门</w:t>
            </w:r>
          </w:p>
        </w:tc>
        <w:tc>
          <w:tcPr>
            <w:tcW w:type="dxa" w:w="3118"/>
            <w:vAlign w:val="center"/>
          </w:tcPr>
          <w:p>
            <w:pPr>
              <w:jc w:val="center"/>
            </w:pPr>
            <w:r/>
            <w:r>
              <w:rPr>
                <w:rFonts w:ascii="微软雅黑" w:hAnsi="微软雅黑" w:eastAsia="微软雅黑"/>
                <w:b w:val="0"/>
                <w:i w:val="0"/>
                <w:color w:val="202833"/>
                <w:sz w:val="20"/>
              </w:rPr>
              <w:t>12家企业通过年度年审</w:t>
            </w:r>
          </w:p>
        </w:tc>
        <w:tc>
          <w:tcPr>
            <w:tcW w:type="dxa" w:w="3685"/>
            <w:vAlign w:val="center"/>
          </w:tcPr>
          <w:p>
            <w:pPr>
              <w:jc w:val="center"/>
            </w:pPr>
            <w:r/>
            <w:r>
              <w:rPr>
                <w:rFonts w:ascii="微软雅黑" w:hAnsi="微软雅黑" w:eastAsia="微软雅黑"/>
                <w:b w:val="0"/>
                <w:i w:val="0"/>
                <w:color w:val="202833"/>
                <w:sz w:val="20"/>
              </w:rPr>
              <w:t>年审常态化</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风险警示：无资质代办出国务工纠纷频发</w:t>
      </w:r>
    </w:p>
    <w:p>
      <w:pPr>
        <w:spacing w:after="140" w:before="0" w:line="312" w:lineRule="auto"/>
        <w:ind w:left="113"/>
      </w:pPr>
      <w:r>
        <w:rPr>
          <w:rFonts w:ascii="微软雅黑" w:hAnsi="微软雅黑" w:eastAsia="微软雅黑"/>
          <w:b w:val="0"/>
          <w:i w:val="0"/>
          <w:color w:val="202833"/>
          <w:sz w:val="22"/>
        </w:rPr>
        <w:t>近期曝光的多起案例显示，部分无涉外劳务资质的中介以'出国轻松月入几万'为饵招揽客户，办理失败后拒不退还高额服务费——大连某劳务公司相关纠纷涉案金额已达百万元。多地商务部门及媒体同步提醒：出国劳务人员无需缴纳履约保证金，应选择具有对外劳务合作经营资格的机构，警惕'高薪+代办费'套路，并核实商务部业务备案信息。对劳务输出机构而言，合规资质与收费透明正成为行业分水岭。</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对外劳务市场呈现'资质合规化+需求结构化'双主线：监管通过名单公示、年审、许可审核持续净化供给端；市场端对东南亚、中东等新兴市场的制造业、建筑业劳务需求保持韧性。合规机构有望在出清中扩大份额，'黑中介'风险则是求职者与正规机构共同的敌人。</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中山'工会V探厂'：灵活就业群体打开数字就业新赛道</w:t>
      </w:r>
    </w:p>
    <w:p>
      <w:pPr>
        <w:spacing w:after="140" w:before="0" w:line="312" w:lineRule="auto"/>
        <w:ind w:left="113"/>
      </w:pPr>
      <w:r>
        <w:rPr>
          <w:rFonts w:ascii="微软雅黑" w:hAnsi="微软雅黑" w:eastAsia="微软雅黑"/>
          <w:b w:val="0"/>
          <w:i w:val="0"/>
          <w:color w:val="202833"/>
          <w:sz w:val="22"/>
        </w:rPr>
        <w:t>据中工网9月6日报道，广东中山市总工会发起的'工会V探厂'行动自今年1月启动以来，累计培育本土探厂达人超500人，其中超半数为灵活就业群体及新就业形态劳动者；累计产出短视频超2000条，全网曝光量突破3000万人次，直接带动订单超10亿元。项目通过'系统化培训+实战演练+常态化创作'全链条培育，帮宝妈、转岗职工等掌握视频策划、拍摄运营与商业转化技能，有学员月增收最高超万元，并带动40多位宝妈入行。这一模式被评价为'工会+制造业+互联网'服务实体经济的群团组织新路径。</w:t>
      </w:r>
    </w:p>
    <w:tbl>
      <w:tblPr>
        <w:tblW w:type="auto" w:w="0"/>
        <w:jc w:val="center"/>
        <w:tblLook w:firstColumn="1" w:firstRow="1" w:lastColumn="0" w:lastRow="0" w:noHBand="0" w:noVBand="1" w:val="04A0"/>
      </w:tblPr>
      <w:tblGrid>
        <w:gridCol w:w="4986"/>
        <w:gridCol w:w="4986"/>
      </w:tblGrid>
      <w:tr>
        <w:tc>
          <w:tcPr>
            <w:tcW w:type="dxa" w:w="2268"/>
            <w:vAlign w:val="center"/>
            <w:shd w:val="clear" w:fill="0F2452"/>
          </w:tcPr>
          <w:p>
            <w:pPr>
              <w:jc w:val="center"/>
            </w:pPr>
            <w:r/>
            <w:r>
              <w:rPr>
                <w:rFonts w:ascii="微软雅黑" w:hAnsi="微软雅黑" w:eastAsia="微软雅黑"/>
                <w:b/>
                <w:i w:val="0"/>
                <w:color w:val="FFFFFF"/>
                <w:sz w:val="21"/>
              </w:rPr>
              <w:t>指标</w:t>
            </w:r>
          </w:p>
        </w:tc>
        <w:tc>
          <w:tcPr>
            <w:tcW w:type="dxa" w:w="5669"/>
            <w:vAlign w:val="center"/>
            <w:shd w:val="clear" w:fill="0F2452"/>
          </w:tcPr>
          <w:p>
            <w:pPr>
              <w:jc w:val="center"/>
            </w:pPr>
            <w:r/>
            <w:r>
              <w:rPr>
                <w:rFonts w:ascii="微软雅黑" w:hAnsi="微软雅黑" w:eastAsia="微软雅黑"/>
                <w:b/>
                <w:i w:val="0"/>
                <w:color w:val="FFFFFF"/>
                <w:sz w:val="21"/>
              </w:rPr>
              <w:t>数据</w:t>
            </w:r>
          </w:p>
        </w:tc>
      </w:tr>
      <w:tr>
        <w:tc>
          <w:tcPr>
            <w:tcW w:type="dxa" w:w="2268"/>
            <w:vAlign w:val="center"/>
          </w:tcPr>
          <w:p>
            <w:pPr>
              <w:jc w:val="center"/>
            </w:pPr>
            <w:r/>
            <w:r>
              <w:rPr>
                <w:rFonts w:ascii="微软雅黑" w:hAnsi="微软雅黑" w:eastAsia="微软雅黑"/>
                <w:b w:val="0"/>
                <w:i w:val="0"/>
                <w:color w:val="202833"/>
                <w:sz w:val="20"/>
              </w:rPr>
              <w:t>培育探厂达人</w:t>
            </w:r>
          </w:p>
        </w:tc>
        <w:tc>
          <w:tcPr>
            <w:tcW w:type="dxa" w:w="5669"/>
            <w:vAlign w:val="center"/>
          </w:tcPr>
          <w:p>
            <w:pPr>
              <w:jc w:val="center"/>
            </w:pPr>
            <w:r/>
            <w:r>
              <w:rPr>
                <w:rFonts w:ascii="微软雅黑" w:hAnsi="微软雅黑" w:eastAsia="微软雅黑"/>
                <w:b w:val="0"/>
                <w:i w:val="0"/>
                <w:color w:val="202833"/>
                <w:sz w:val="20"/>
              </w:rPr>
              <w:t>超500人（过半为灵活就业/新就业形态）</w:t>
            </w:r>
          </w:p>
        </w:tc>
      </w:tr>
      <w:tr>
        <w:tc>
          <w:tcPr>
            <w:tcW w:type="dxa" w:w="2268"/>
            <w:vAlign w:val="center"/>
            <w:shd w:val="clear" w:fill="EAF1FB"/>
          </w:tcPr>
          <w:p>
            <w:pPr>
              <w:jc w:val="center"/>
            </w:pPr>
            <w:r/>
            <w:r>
              <w:rPr>
                <w:rFonts w:ascii="微软雅黑" w:hAnsi="微软雅黑" w:eastAsia="微软雅黑"/>
                <w:b w:val="0"/>
                <w:i w:val="0"/>
                <w:color w:val="202833"/>
                <w:sz w:val="20"/>
              </w:rPr>
              <w:t>短视频产量</w:t>
            </w:r>
          </w:p>
        </w:tc>
        <w:tc>
          <w:tcPr>
            <w:tcW w:type="dxa" w:w="5669"/>
            <w:vAlign w:val="center"/>
            <w:shd w:val="clear" w:fill="EAF1FB"/>
          </w:tcPr>
          <w:p>
            <w:pPr>
              <w:jc w:val="center"/>
            </w:pPr>
            <w:r/>
            <w:r>
              <w:rPr>
                <w:rFonts w:ascii="微软雅黑" w:hAnsi="微软雅黑" w:eastAsia="微软雅黑"/>
                <w:b w:val="0"/>
                <w:i w:val="0"/>
                <w:color w:val="202833"/>
                <w:sz w:val="20"/>
              </w:rPr>
              <w:t>超2000条</w:t>
            </w:r>
          </w:p>
        </w:tc>
      </w:tr>
      <w:tr>
        <w:tc>
          <w:tcPr>
            <w:tcW w:type="dxa" w:w="2268"/>
            <w:vAlign w:val="center"/>
          </w:tcPr>
          <w:p>
            <w:pPr>
              <w:jc w:val="center"/>
            </w:pPr>
            <w:r/>
            <w:r>
              <w:rPr>
                <w:rFonts w:ascii="微软雅黑" w:hAnsi="微软雅黑" w:eastAsia="微软雅黑"/>
                <w:b w:val="0"/>
                <w:i w:val="0"/>
                <w:color w:val="202833"/>
                <w:sz w:val="20"/>
              </w:rPr>
              <w:t>全网曝光</w:t>
            </w:r>
          </w:p>
        </w:tc>
        <w:tc>
          <w:tcPr>
            <w:tcW w:type="dxa" w:w="5669"/>
            <w:vAlign w:val="center"/>
          </w:tcPr>
          <w:p>
            <w:pPr>
              <w:jc w:val="center"/>
            </w:pPr>
            <w:r/>
            <w:r>
              <w:rPr>
                <w:rFonts w:ascii="微软雅黑" w:hAnsi="微软雅黑" w:eastAsia="微软雅黑"/>
                <w:b w:val="0"/>
                <w:i w:val="0"/>
                <w:color w:val="202833"/>
                <w:sz w:val="20"/>
              </w:rPr>
              <w:t>突破3000万人次</w:t>
            </w:r>
          </w:p>
        </w:tc>
      </w:tr>
      <w:tr>
        <w:tc>
          <w:tcPr>
            <w:tcW w:type="dxa" w:w="2268"/>
            <w:vAlign w:val="center"/>
            <w:shd w:val="clear" w:fill="EAF1FB"/>
          </w:tcPr>
          <w:p>
            <w:pPr>
              <w:jc w:val="center"/>
            </w:pPr>
            <w:r/>
            <w:r>
              <w:rPr>
                <w:rFonts w:ascii="微软雅黑" w:hAnsi="微软雅黑" w:eastAsia="微软雅黑"/>
                <w:b w:val="0"/>
                <w:i w:val="0"/>
                <w:color w:val="202833"/>
                <w:sz w:val="20"/>
              </w:rPr>
              <w:t>带动订单</w:t>
            </w:r>
          </w:p>
        </w:tc>
        <w:tc>
          <w:tcPr>
            <w:tcW w:type="dxa" w:w="5669"/>
            <w:vAlign w:val="center"/>
            <w:shd w:val="clear" w:fill="EAF1FB"/>
          </w:tcPr>
          <w:p>
            <w:pPr>
              <w:jc w:val="center"/>
            </w:pPr>
            <w:r/>
            <w:r>
              <w:rPr>
                <w:rFonts w:ascii="微软雅黑" w:hAnsi="微软雅黑" w:eastAsia="微软雅黑"/>
                <w:b w:val="0"/>
                <w:i w:val="0"/>
                <w:color w:val="202833"/>
                <w:sz w:val="20"/>
              </w:rPr>
              <w:t>超10亿元</w:t>
            </w:r>
          </w:p>
        </w:tc>
      </w:tr>
    </w:tbl>
    <w:p>
      <w:pPr>
        <w:spacing w:after="40"/>
      </w:pP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鞍山工会'沉浸式探岗'直播：2.3万人次云端看厂</w:t>
      </w:r>
    </w:p>
    <w:p>
      <w:pPr>
        <w:spacing w:after="140" w:before="0" w:line="312" w:lineRule="auto"/>
        <w:ind w:left="113"/>
      </w:pPr>
      <w:r>
        <w:rPr>
          <w:rFonts w:ascii="微软雅黑" w:hAnsi="微软雅黑" w:eastAsia="微软雅黑"/>
          <w:b w:val="0"/>
          <w:i w:val="0"/>
          <w:color w:val="202833"/>
          <w:sz w:val="22"/>
        </w:rPr>
        <w:t>辽宁省鞍山市总工会'工会帮就业 探岗零距离'沉浸式入企探岗直播走进供应链企业，工会干部把直播间搬到生产车间、生产线与职工食堂，带求职者'云逛'厂区并现场答疑，累计吸引2.3万余人次观看。今年以来鞍山工会推进'互联网+就业'：依托'职工之家'APP等平台举办系列招聘会，404家企业发布岗位1565个、用工需求9295人；'就业帮扶云'平台已入驻企业2809家、提供岗位超1万个。直播带岗、入企探岗正成为工会就业服务的标准化动作。</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行业观察：低价电话卡'退场'后，骑手保障议题持续升温</w:t>
      </w:r>
    </w:p>
    <w:p>
      <w:pPr>
        <w:spacing w:after="140" w:before="0" w:line="312" w:lineRule="auto"/>
        <w:ind w:left="113"/>
      </w:pPr>
      <w:r>
        <w:rPr>
          <w:rFonts w:ascii="微软雅黑" w:hAnsi="微软雅黑" w:eastAsia="微软雅黑"/>
          <w:b w:val="0"/>
          <w:i w:val="0"/>
          <w:color w:val="202833"/>
          <w:sz w:val="22"/>
        </w:rPr>
        <w:t>9月4日中工网调查报道关注三大运营商关停第三方售卡渠道后外卖骑手通信成本上升问题，引发对灵活就业群体'隐性成本'的关注；此前厦门骑手平台协商会达成四项共识、工会工作'十五五'规划明确新就业形态劳动者权益条款，均显示灵活用工治理正从社保、工伤向通信、算法等更细颗粒度延伸。业内呼吁以'暖新卡'式普惠套餐、平台补贴等缓冲机制对冲合规治理的次生成本。</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板块本周的关键词是'技能化转型'：工会体系正大规模地把灵活就业群体引入短视频、直播带岗等数字技能赛道，从'接单糊口'走向'技能增收'。同时，灵活就业者的成本结构（通信、社保）与权益边界问题进入政策视野，合规化、精细化治理是长期主线。</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科锐国际中报：营收净利双增，AI战略进入价值释放期</w:t>
      </w:r>
    </w:p>
    <w:p>
      <w:pPr>
        <w:spacing w:after="140" w:before="0" w:line="312" w:lineRule="auto"/>
        <w:ind w:left="113"/>
      </w:pPr>
      <w:r>
        <w:rPr>
          <w:rFonts w:ascii="微软雅黑" w:hAnsi="微软雅黑" w:eastAsia="微软雅黑"/>
          <w:b w:val="0"/>
          <w:i w:val="0"/>
          <w:color w:val="202833"/>
          <w:sz w:val="22"/>
        </w:rPr>
        <w:t>8月27日晚科锐国际披露2026年中报：上半年净利润约1.51亿元，营收与净利润同比双双增长，盈利能力改善。机构分析认为，公司'技术+服务+并购'一体化布局成效显现，AI在简历筛选、人岗匹配等环节的渗透正在转化为效率与毛利提升，其从'单Agent到Agent Team'的招聘智能化路径（在WAIC 2026上提出）被视为行业风向标。中报披露后多家券商发布研报跟踪，人力资源服务龙头的AI叙事进入业绩验证阶段。</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BOSS直聘股价持续走强：财报后多家投行上调目标价</w:t>
      </w:r>
    </w:p>
    <w:p>
      <w:pPr>
        <w:spacing w:after="140" w:before="0" w:line="312" w:lineRule="auto"/>
        <w:ind w:left="113"/>
      </w:pPr>
      <w:r>
        <w:rPr>
          <w:rFonts w:ascii="微软雅黑" w:hAnsi="微软雅黑" w:eastAsia="微软雅黑"/>
          <w:b w:val="0"/>
          <w:i w:val="0"/>
          <w:color w:val="202833"/>
          <w:sz w:val="22"/>
        </w:rPr>
        <w:t>自8月25日发布二季度财报（营收及利润增长均提速）后，BOSS直聘股价连续上行：8月26日美股涨超17%，9月4日中概股盘前普涨中再涨约4%。招银国际、Bernstein等机构相继上调目标价，认为其AI闭环服务收入持续增长、蓝领与中小企业客户拓展打开招聘服务新空间，'7000万月活之后的增长路径'获得资本市场认可。</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人力资源赛道的一级市场融资仍以AI招聘、灵活用工SaaS为热点方向（灵活用工平台灵卡科技此前递表港交所亦印证资本关注度）；二级市场上，科锐国际、BOSS直聘等龙头用业绩兑现验证'AI+人力资源'商业模式的可持续性。投资逻辑正从'讲故事'切换到'看财报'，具备技术壁垒与现金流质量的头部公司获得溢价。</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事件：医保新政为灵活就业者'撑腰'——2亿灵活就业人群参保破局</w:t>
      </w:r>
    </w:p>
    <w:p>
      <w:pPr>
        <w:spacing w:after="140" w:before="0" w:line="312" w:lineRule="auto"/>
        <w:ind w:left="113"/>
      </w:pPr>
      <w:r>
        <w:rPr>
          <w:rFonts w:ascii="微软雅黑" w:hAnsi="微软雅黑" w:eastAsia="微软雅黑"/>
          <w:b w:val="0"/>
          <w:i w:val="0"/>
          <w:color w:val="202833"/>
          <w:sz w:val="22"/>
        </w:rPr>
        <w:t>9月4日国新办发布会释放的医保新政，被业内视为灵活用工领域年内最具分量的制度信号。三组'打通'值得细读：</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医保新政的深层含义是：国家正用社保体系为灵活用工'正名'与'托底'。对人力资源服务机构，这是从'劳务撮合'升级为'用工治理服务商'的时间窗口；对平台企业，主动合规将获得监管信任与劳动力市场的双重回报。</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趋势研判：AI深度重构招聘价值链、灵活用工制度化成网、劳务出海合规为王</w:t>
      </w:r>
    </w:p>
    <w:p>
      <w:pPr>
        <w:spacing w:after="140" w:before="0" w:line="312" w:lineRule="auto"/>
        <w:ind w:left="113"/>
      </w:pPr>
      <w:r>
        <w:rPr>
          <w:rFonts w:ascii="微软雅黑" w:hAnsi="微软雅黑" w:eastAsia="微软雅黑"/>
          <w:b w:val="0"/>
          <w:i w:val="0"/>
          <w:color w:val="202833"/>
          <w:sz w:val="22"/>
        </w:rPr>
        <w:t>趋势一：AI从'工具'变'引擎'，招聘行业进入'Agent'时代。BOSS直聘AI闭环服务收入持续增长、科锐国际提出'从单Agent到Agent Team'、智联招聘以'和AI一起进化'重塑雇主评价体系——AI已渗透招聘全流程，未来1-2年'AI招聘代理'或成为企业侧标配，行业竞争焦点从流量转向算法与交付质量。</w:t>
      </w:r>
    </w:p>
    <w:p>
      <w:pPr>
        <w:spacing w:after="140" w:before="0" w:line="312" w:lineRule="auto"/>
        <w:ind w:left="113"/>
      </w:pPr>
      <w:r>
        <w:rPr>
          <w:rFonts w:ascii="微软雅黑" w:hAnsi="微软雅黑" w:eastAsia="微软雅黑"/>
          <w:b w:val="0"/>
          <w:i w:val="0"/>
          <w:color w:val="202833"/>
          <w:sz w:val="22"/>
        </w:rPr>
        <w:t>趋势二：灵活用工保障'制度化成网'。医保参保松绑（9·4）、工会'十五五'规划、各地协商机制在同一时间轴密集落地，'社保+职伤+算法治理'三位一体的灵活用工治理框架加速成型，合规能力成为平台与服务机构的生存线。</w:t>
      </w:r>
    </w:p>
    <w:p>
      <w:pPr>
        <w:spacing w:after="140" w:before="0" w:line="312" w:lineRule="auto"/>
        <w:ind w:left="113"/>
      </w:pPr>
      <w:r>
        <w:rPr>
          <w:rFonts w:ascii="微软雅黑" w:hAnsi="微软雅黑" w:eastAsia="微软雅黑"/>
          <w:b w:val="0"/>
          <w:i w:val="0"/>
          <w:color w:val="202833"/>
          <w:sz w:val="22"/>
        </w:rPr>
        <w:t>趋势三：就业供给端'技能化'提速。数据标注'培训即就业'（贵州1.6万人）、'工会V探厂'达人培育（500+人）、ESG人才缺口预计超200万等信号表明：AI与绿色转型正在制造一批'新技能岗位'，'培训-认证-上岗'闭环将成为人力资源服务的新增长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风险提示：招聘诈骗升级、劳务黑中介、政策传导次生效应需警惕</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一：招聘诈骗'剧本化'升级。BOSS直聘本周警示的刷单骗局显示，诈骗分子已会用'真实退款+小额返利'建立信任再收割大额资金，且向'考核''培训'等招聘环节渗透。平台、监管与求职者教育需同步升级，人力资源服务机构在交付流程中应嵌入反诈提示节点。</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二：出国劳务'黑中介'纠纷抬头。无资质代办、高额服务费不退等纠纷涉案金额已达百万级，求职者权益受损的同时也侵蚀正规机构信誉。建议求职者核验商务部经营资格名单、签订规范合同并留存缴费凭证；行业层面期待更严的跨区域资质协同监管。</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风险三：政策落地的'次生成本'与数据合规。低价电话卡退场推高骑手通信成本是'合规治理需配套缓冲'的典型案例；同时，AI招聘的算法公平、简历数据合规、面试录音等新型数据合规问题进入监管视野，相关企业需前置构建合规体系，避免'业务跑得快、合规补得慢'。</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本周人力资源行业的关键词是'制度密度与AI浓度'：医保新政让灵活用工保障再下一城，AI则同时改造着招聘供给端（平台）与需求端（新岗位）。对从业者与机构而言，把政策红利转化为合规服务能力、把AI焦虑转化为技能投资，将是下一轮分化的胜负手。</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生成时间：2026-09-07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