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12" w:lineRule="auto"/>
        <w:jc w:val="center"/>
      </w:pPr>
      <w:r>
        <w:rPr>
          <w:rFonts w:ascii="微软雅黑" w:hAnsi="微软雅黑" w:eastAsia="微软雅黑"/>
          <w:b/>
          <w:i w:val="0"/>
          <w:color w:val="0F2452"/>
          <w:sz w:val="48"/>
        </w:rPr>
        <w:t>人力资源行业新闻周报</w:t>
      </w:r>
    </w:p>
    <w:p>
      <w:pPr>
        <w:spacing w:after="40" w:before="0" w:line="312" w:lineRule="auto"/>
        <w:jc w:val="center"/>
      </w:pPr>
      <w:r>
        <w:rPr>
          <w:rFonts w:ascii="微软雅黑" w:hAnsi="微软雅黑" w:eastAsia="微软雅黑"/>
          <w:b/>
          <w:i w:val="0"/>
          <w:color w:val="1E4E9C"/>
          <w:sz w:val="22"/>
        </w:rPr>
        <w:t>Weekly HR Industry News Report</w:t>
      </w:r>
    </w:p>
    <w:p>
      <w:pPr>
        <w:spacing w:after="200" w:before="0" w:line="312" w:lineRule="auto"/>
        <w:jc w:val="center"/>
      </w:pPr>
      <w:r>
        <w:rPr>
          <w:rFonts w:ascii="微软雅黑" w:hAnsi="微软雅黑" w:eastAsia="微软雅黑"/>
          <w:b w:val="0"/>
          <w:i w:val="0"/>
          <w:color w:val="5C6B7A"/>
          <w:sz w:val="21"/>
        </w:rPr>
        <w:t>报告周期：2026年9月5日 — 9月12日（滚动一周）</w:t>
      </w:r>
    </w:p>
    <w:p>
      <w:pPr>
        <w:spacing w:after="160" w:line="336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1"/>
        </w:rPr>
        <w:t>本周核心动向：</w:t>
      </w:r>
      <w:r>
        <w:rPr>
          <w:rFonts w:ascii="微软雅黑" w:hAnsi="微软雅黑" w:eastAsia="微软雅黑"/>
          <w:b w:val="0"/>
          <w:i w:val="0"/>
          <w:color w:val="141A26"/>
          <w:sz w:val="21"/>
        </w:rPr>
        <w:t>2026年服贸会首设'出海服务'专区，北京国际人力集团（FESCO）、上海外服等头部机构集中亮相，'人力资源服务出海+AI落地'成为本周最强主线；国内层面，七部门灵活就业人员参加职工医保'提质专项行动'细则落地，行业'合规化+AI化+全球化'三线并进。</w:t>
      </w:r>
    </w:p>
    <w:p>
      <w:pPr>
        <w:spacing w:after="80" w:before="120" w:line="312" w:lineRule="auto"/>
      </w:pPr>
      <w:r>
        <w:rPr>
          <w:rFonts w:ascii="微软雅黑" w:hAnsi="微软雅黑" w:eastAsia="微软雅黑"/>
          <w:b/>
          <w:i w:val="0"/>
          <w:color w:val="1E4E9C"/>
          <w:sz w:val="28"/>
        </w:rPr>
        <w:t>◆ 本期速览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2026年服贸会开幕，首设'出海服务'专区，人力资源服务出海被纳入国家级展会平台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北京国际人力集团（FESCO）以'FESCO Global全球服务生态'亮相服贸会，服务网络覆盖全球150余个国家和市场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上海外服举办'智能浪潮下的洞察与引领'人力资源高管思享会，聚焦AI时代价值重构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七部门启动灵活就业人员参加职工医保'提质专项行动'，超大城市放开参保户籍限制、缴费年限按月累计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2026年1-7月我国对外劳务合作派出27.4万人、同比增加4.3万人，跨境劳务稳步复苏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行业要闻速览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1. 2026年服贸会开幕：首设'出海服务'专区，人力资源服务出海迎新窗口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9月9日，2026年中国国际服务贸易交易会（服贸会）在北京首钢园正式开幕，会期持续至9月13日。本届服贸会首设'出海服务'专区，聚焦中国企业全球化过程中的商务服务、法律服务、人力资源等配套需求。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在服务贸易开放提速的背景下，人力资源服务正从'企业出海的配套角色'走向'独立的价值板块'。跨境用工、全球薪酬、海外人才配置与属地化合规，成为头部机构竞相布局的新高地。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2. 北京国际人力集团亮相服贸会，展示'FESCO Global全球服务生态'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据财见2026年9月11日讯：北京国际人力资本集团股份有限公司（品牌'FESCO'）作为服贸会官方合作供应商，以'FESCO Global全球服务生态'为主题亮相首钢园2号馆运输和商务服务专题展，围绕'服务+人才+智能'三大维度搭建完整生态圈，服务网络遍布全球150余个国家和市场。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展区集中呈现一站式全球人力资源综合解决方案，覆盖全球人力咨询、全球商务、全球用工、全球人才、全球薪酬五大核心业务板块；展期同步解读《全球城市人才黏性指数报告》（覆盖全球45个国家125个城市），并展示'易北京'平台、'京企直聘'北京市属国企引才平台、GNIS联系北京·全球创新服务网络等成果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值得关注的是，展区还输出'企业一站式AI落地转型解决方案'，通过全维度系统摸排明确业务痛点，借助人工智能重塑传统业务流程并落地AI Agent试点项目，形成'流程改造、智能体落地、人才配套'三大核心板块的标准化服务闭环。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3. 上海外服举办'智能浪潮下的洞察与引领'人力资源高管思享会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据财见2026年9月9日讯：时值上海外服（集团）有限公司成立42周年司庆月，'智能浪潮下的洞察与引领——人力资源高管思享会'近日圆满落幕。会议聚焦AI浪潮下人力资源服务的价值重构，邀请企业HR高管共同探讨组织进化、人才管理与智能化交付等议题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作为国内人力资源服务行业的头部机构，上海外服此番以'思享会'形式聚合客户与行业资源，反映出传统人力资源服务机构正从'事务性外包'加速向'智能化、咨询化、一体化解决方案'升级。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4. 人社部'百日千万招聘专项行动'持续推进，秋招旺季'政策月历化'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'金九十'招聘旺季，国家级招聘专项行动与各地秋招计划密集上线。多个行业线上招聘专场由相关行业协会、人力资源服务机构组织，形成毕业生与产业人才的高频对接通道。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进入9月，稳就业政策密度显著上升，招聘服务呈现'政策月历化'节奏，地方人社部门与市场化机构协同推动供需对接，人力资源服务业的公共价值进一步凸显。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服务贸易开放提速，头部人力资源机构在服贸会集中展示'出海+AI'能力，'国家队'与地方平台同步加码高质量服务，行业主线仍是'服务实体+AI转型+合规补课'三条腿走路。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在线招聘板块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智联招聘：携手北大国发院共探'经济重塑与AI革命'下的组织进化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智联招聘携手北京大学国家发展研究院举办的论坛开讲，围绕'经济重塑与AI革命'探讨组织进化路径，'和AI一起进化'从口号走向方法论。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同期，智联招聘发布《2026年生物医药产业人才发展报告》，显示'医药+AI+数据'复合型岗位薪酬表现突出。平台持续以'数据报告+垂直产业研究'作为获客与品牌建设的重要抓手。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BOSS直聘：美股表现强劲，财报后获投行集体上调目标价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财报发布后，多家投行集体上调BOSS直聘目标价，市场对其'AI闭环+蓝领增量'的增长逻辑给予认可，平台美股表现强劲。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同期，BOSS直聘发布求职安全提示，针对'考核式'垫资骗局等新型招聘诈骗手法升级预警，提示求职者警惕以'入职考核''保证金'为名的资金陷阱。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行业观察：最佳雇主评选与秋招季同步升温，AI交付成胜负手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智联招聘2026中国年度最佳雇主评选启动，主题升级为'和AI·一起进化'。秋招临近，多地秋季大型招聘会排期陆续公布，招聘平台在AI匹配、实时沟通与垂直产业研究上的竞争持续加剧。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聘平台的竞争焦点已从'渠道流量'转向'技术效率+数据洞察'。AI简历解析、智能人岗匹配、虚拟面试官等应用的规模化落地，正成为平台获客与留存的关键变量。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招聘平台进入'数据报告+AI交付'双轮驱动阶段，头部平台美股/港股表现与AI产品落地成为核心观察窗口，竞争焦点从'渠道流量'转向'技术效率'。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出国劳务板块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2026年1-7月我国对外劳务合作派出27.4万人，同比增加4.3万人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据商务部门相关统计，2026年1-7月我国对外劳务合作派出27.4万人，同比增加4.3万人，跨境劳务稳步复苏，派出规模与结构同步优化，制造业、建筑业、服务业是主要流向。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随着全球供应链重构与'一带一路'合作项目推进，对外劳务合作需求保持较强韧性，具备规范化管理与境外服务能力的劳务输出机构迎来结构性机会。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服贸会观察：企业出海进入'当地扎下根'阶段，人才服务成关键配套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从本周服贸会释放的信号看，出海企业的用工需求正从'项目制派遣'转向'本地化长期雇佣'，对跨境薪酬、社保合规、属地化招聘的服务能力提出更高要求。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劳务输出机构加快布局东南亚、中东等新兴市场，输出规模与结构双优化，同时强化劳务人员境外权益保障、应急救助与属地化服务网络建设。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地方动态与风险提示：规范管理与'高薪陷阱'并存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地方层面，多地持续更新对外劳务合作经营资格名单，推进特色培训基地与劳务品牌建设，'认准正规机构'成为监管部门的高频提示。劳务输出正从'卖力气'向'凭手艺'升级。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风险警示：虚构海外高薪骗局、无资质中介乱象仍是出国务工的最大陷阱。务工人员应重点核验机构对外劳务合作经营资格、合同条款与收费明细，警惕'先交费后出境'类骗局。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对外劳务合作稳步复苏，'企业出海+本地扎根'推动劳务输出从'卖力气'向'凭手艺、带服务'升级，合规经营与境外权益保障是绝对底线。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灵活用工板块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七部门启动专项行动：推动灵活就业人员参加职工医保，放开参保户籍门槛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七部门启动灵活就业人员参加职工医保'提质专项行动'，细则落地后实现'方便参、方便转、方便缴、方便用'：超大城市放开参保户籍限制，缴费年限按月累计，进一步提升灵活就业人员的医疗保障水平。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参保提质被视为新就业形态劳动者保障的'制度成人礼'。多地探索由平台与个人共担保费，例如合肥试点灵活就业职工医保月缴275元、平台与个人各担一半，参保可持续性成为关键。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权益保障精细化：零工市场设'劳动争议调解岗'，保障向'细颗粒'扩围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兰州零工市场设置'劳动争议调解岗'，运行一年半来有效化解大量纠纷，探索'维权零成本'样本；青海海西州部署新就业形态劳动者维权服务专项行动。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灵活就业保障正向公积金、生育保险等'细颗粒'政策扩围，多地推进女职工权益协商、柔性岗位与新业态劳动者关爱服务，保障体系日趋精细。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监管收紧：借灵活用工平台虚开发票，多地警方斩断涉税黑灰产业链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灵活用工平台虚开发票案件频发，北京及多地警方近期斩断涉税黑灰产业链，合规红线持续收紧，平台需强化业务真实性审核与税务合规管理。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规成本显性化将重塑灵活用工平台的盈利模型与竞争格局：唯有把业务真实性、税务合规与劳动者权益保障同时做扎实的平台，才能在洗牌中占据优势。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灵活就业保障从'有没有'迈向'好不好'，参保提质与平台合规双线收紧，社保与税务合规成本显性化趋势明确，将重塑平台盈利模型。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投资创业板块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灵活用工赛道资本热度延续：灵卡科技赴港IPO，市场规模预计2030年达3.88万亿元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灵活用工赛道资本关注度不减，灵卡科技推进赴港IPO，行业市场规模预计到2030年将达3.88万亿元，中长期增长预期明确。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资本更青睐具备合规能力与数字化交付能力的平台型企业，'合规+技术'正成为灵活用工赛道融资的核心门槛。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全球HR软件资本整合升温：银湖资本洽购Workday，估值约430亿美元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全球HR软件领域出现大额资本整合动向，银湖资本洽购Workday、估值约430亿美元，凸显HR SaaS'平台化+AI化'的长期资本价值。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与此同时，Workday的案例也提示'AI增收'存在证伪风险，资本市场对AI叙事的定价趋于理性，更加关注真实营收与利润兑现。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A股/港股人力资源服务板块：科锐国际、同道猎聘，AI叙事进入'验证期'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科锐国际半年报营收净利双增，但AI叙事进入'验证期'后股价波动明显加大；港股同道猎聘在现金充裕背景下持续进行结构性存款等财务运作，'现金为王'逻辑显现。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级市场对人力资源服务标的的定价，正同时考量'现金安全垫'与'AI业绩兑现'两条逻辑，AI叙事从'讲故事'转入'看兑现'阶段。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资本在HR软件、AI招聘、灵活用工SaaS、跨境用工四条细分主线持续布局，'现金为王+AI验证'成为二级市场对人力资源服务标的的双重定价逻辑。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重点事件深度解读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事件：2026服贸会'出海服务'专区落地——人力资源服务出海从'配套'走向'主业'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本周，2026年中国国际服务贸易交易会首设'出海服务'专区，北京国际人力集团（FESCO）、上海外服等头部机构集中亮相，把'全球用工、全球薪酬、全球人才、跨境咨询'作为独立业务板块对外输出。这一动作标志着两重转变：一是服务贸易开放从'货物贸易'延伸至'服务+人才'，人力资源服务出海被正式纳入国家级展会平台；二是行业竞争从'国内市场份额'转向'全球服务网络与本地化交付能力'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结合2026年1-7月对外劳务合作派出27.4万人、同比增加4.3万人的数据，可以判断：跨境用工正从'低技能劳务输出'升级为'技能型、服务型、数字化'的多层次出海。头部机构以'全球网络+AI交付'为抓手，试图在出海赛道建立先发优势。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服务机构而言，能否构建'全球服务网络+本地合规能力+AI交付闭环'的三位一体能力，将决定其在出海赛道的位置；对出海企业而言，用工合规与人才配套必须前置规划，而非事后补课。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风险提示：跨境劳务涉及多法域合规，机构需重点防范当地劳动法、税务、签证与数据跨境风险，同时避免'重规模、轻合规'带来的声誉与法律隐患。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趋势研判与风险提示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趋势研判一：全球化——人力资源服务出海从'配套'走向'主业'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服贸会首设'出海服务'专区是标志性信号。随着中国企业全球化进入'当地扎根'阶段，跨境用工、全球薪酬、属地化招聘将从'配套服务'升级为机构的核心营收板块，具备全球网络与本地合规能力的机构有望持续受益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趋势研判二：AI化——招聘平台进入'数据报告+AI交付'双轮驱动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头部招聘平台正以'垂直产业数据报告'获客、以'AI交付能力'留存。智联招聘的产业人才报告与BOSS直聘的AI闭环，代表了两种略有差异但方向一致的路径，行业竞争从'流量'转向'效率'。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趋势研判三：合规化——灵活就业保障进入'成本重构期'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灵活就业参保'提质专项行动'与平台涉税监管收紧叠加，社保与税务合规成本将显性化。这一趋势短期压缩平台利润，中长期则推动行业出清、利好合规龙头，'合规能力'正从成本项转为竞争力。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风险提示一：秋招季求职诈骗与'培训贷'抬头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'高薪、在编、包入职'话术、'考核式'垫资骗局与'培训贷'在秋招季高发。求职者应通过正规平台核验企业资质，警惕任何以入职为名的收费或贷款要求。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风险提示二：出国务工'高薪陷阱'与无资质中介乱象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提醒务工人群核验机构对外劳务合作经营资格，签订正规合同并留存凭证，警惕'先交费后出境''虚假海外高薪'等骗局，避免人财两空。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风险提示三：灵活用工社保/税务合规成本显性化带来利润波动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随着参保提质与涉税监管收紧，灵活用工平台的合规成本上升，短期利润或将承压。投资者需关注平台业务真实性、税务合规与成本转嫁能力，警惕合规风险引发的估值波动。</w:t>
      </w:r>
    </w:p>
    <w:p>
      <w:pPr>
        <w:spacing w:after="40"/>
      </w:pPr>
    </w:p>
    <w:p>
      <w:pPr>
        <w:spacing w:after="0" w:line="312" w:lineRule="auto"/>
        <w:shd w:val="clear" w:fill="D62B1F"/>
      </w:pPr>
      <w:r>
        <w:rPr>
          <w:rFonts w:ascii="微软雅黑" w:hAnsi="微软雅黑" w:eastAsia="微软雅黑"/>
          <w:b/>
          <w:i w:val="0"/>
          <w:color w:val="FFFFFF"/>
          <w:sz w:val="23"/>
        </w:rPr>
        <w:t>一句话判断：</w:t>
      </w:r>
    </w:p>
    <w:p>
      <w:pPr>
        <w:spacing w:after="20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3"/>
        </w:rPr>
        <w:t>服务贸易开放、AI交付能力与合规成本，正在成为人力资源服务行业新周期里的三道'分水岭'——把全球网络、技术效率与合规责任同时做好的机构，才能穿越周期。</w:t>
      </w:r>
    </w:p>
    <w:p>
      <w:pPr>
        <w:spacing w:after="40" w:before="0" w:line="312" w:lineRule="auto"/>
        <w:jc w:val="center"/>
      </w:pPr>
      <w:r>
        <w:rPr>
          <w:rFonts w:ascii="微软雅黑" w:hAnsi="微软雅黑" w:eastAsia="微软雅黑"/>
          <w:b w:val="0"/>
          <w:i w:val="0"/>
          <w:color w:val="5C6B7A"/>
          <w:sz w:val="17"/>
        </w:rPr>
        <w:t>—— 本报告由AI自动抓取生成，数据来源为公开信息，仅供参考，不构成任何投资建议 ——</w:t>
      </w:r>
    </w:p>
    <w:p>
      <w:pPr>
        <w:spacing w:after="120" w:before="0" w:line="312" w:lineRule="auto"/>
        <w:jc w:val="center"/>
      </w:pPr>
      <w:r>
        <w:rPr>
          <w:rFonts w:ascii="微软雅黑" w:hAnsi="微软雅黑" w:eastAsia="微软雅黑"/>
          <w:b w:val="0"/>
          <w:i w:val="0"/>
          <w:color w:val="5C6B7A"/>
          <w:sz w:val="17"/>
        </w:rPr>
        <w:t>生成时间：2026-09-12 07:00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