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before="0" w:line="312" w:lineRule="auto"/>
        <w:jc w:val="center"/>
      </w:pPr>
      <w:r>
        <w:rPr>
          <w:rFonts w:ascii="微软雅黑" w:hAnsi="微软雅黑" w:eastAsia="微软雅黑"/>
          <w:b/>
          <w:i w:val="0"/>
          <w:color w:val="0F2452"/>
          <w:sz w:val="48"/>
        </w:rPr>
        <w:t>人力资源行业新闻周报</w:t>
      </w:r>
    </w:p>
    <w:p>
      <w:pPr>
        <w:spacing w:after="40" w:before="0" w:line="312" w:lineRule="auto"/>
        <w:jc w:val="center"/>
      </w:pPr>
      <w:r>
        <w:rPr>
          <w:rFonts w:ascii="微软雅黑" w:hAnsi="微软雅黑" w:eastAsia="微软雅黑"/>
          <w:b/>
          <w:i w:val="0"/>
          <w:color w:val="1E4E9C"/>
          <w:sz w:val="22"/>
        </w:rPr>
        <w:t>Weekly HR Industry News Report</w:t>
      </w:r>
    </w:p>
    <w:p>
      <w:pPr>
        <w:spacing w:after="200" w:before="0" w:line="312" w:lineRule="auto"/>
        <w:jc w:val="center"/>
      </w:pPr>
      <w:r>
        <w:rPr>
          <w:rFonts w:ascii="微软雅黑" w:hAnsi="微软雅黑" w:eastAsia="微软雅黑"/>
          <w:b w:val="0"/>
          <w:i w:val="0"/>
          <w:color w:val="5C6B7A"/>
          <w:sz w:val="21"/>
        </w:rPr>
        <w:t>报告周期：2026年10月6日 — 10月13日（滚动一周）</w:t>
      </w:r>
    </w:p>
    <w:p>
      <w:pPr>
        <w:spacing w:after="160" w:line="336" w:lineRule="auto"/>
        <w:shd w:val="clear" w:fill="FFF4E6"/>
      </w:pPr>
      <w:r>
        <w:rPr>
          <w:rFonts w:ascii="微软雅黑" w:hAnsi="微软雅黑" w:eastAsia="微软雅黑"/>
          <w:b/>
          <w:i w:val="0"/>
          <w:color w:val="F57C00"/>
          <w:sz w:val="21"/>
        </w:rPr>
        <w:t>本周核心动向：</w:t>
      </w:r>
      <w:r>
        <w:rPr>
          <w:rFonts w:ascii="微软雅黑" w:hAnsi="微软雅黑" w:eastAsia="微软雅黑"/>
          <w:b w:val="0"/>
          <w:i w:val="0"/>
          <w:color w:val="141A26"/>
          <w:sz w:val="21"/>
        </w:rPr>
        <w:t>本周人力资源行业由“政策定调＋权益保障立法＋地方AI赋能”三线共振：10月10日人社部在国新办“开局起步‘十五五’”发布会上披露，今年1—9月全国城镇新增就业1052万人，并锚定到2030年技能人才占就业人员比例升至35%；10月8日人社部发布《新就业形态劳动者权益保障办法（征求意见稿）》，首次以规章形式将“不完全劳动关系”纳入保障；重庆出台19条举措、单项最高补助2000万元推动人工智能赋能人力资源服务业。在线招聘端，智联招聘10月12日发布三季度快报，养老/看护职位数同比增43.9%居所有行业第一；BOSS直聘延续股份回购。跨境劳务派出规模延续回升，灵活用工与平台合规治理同步深化。</w:t>
      </w:r>
    </w:p>
    <w:p>
      <w:pPr>
        <w:spacing w:after="80" w:before="120" w:line="312" w:lineRule="auto"/>
      </w:pPr>
      <w:r>
        <w:rPr>
          <w:rFonts w:ascii="微软雅黑" w:hAnsi="微软雅黑" w:eastAsia="微软雅黑"/>
          <w:b/>
          <w:i w:val="0"/>
          <w:color w:val="1E4E9C"/>
          <w:sz w:val="28"/>
        </w:rPr>
        <w:t>◆ 本期速览</w:t>
      </w:r>
    </w:p>
    <w:p>
      <w:pPr>
        <w:spacing w:after="60" w:line="312" w:lineRule="auto"/>
      </w:pPr>
      <w:r>
        <w:rPr>
          <w:rFonts w:ascii="微软雅黑" w:hAnsi="微软雅黑" w:eastAsia="微软雅黑"/>
          <w:b/>
          <w:i w:val="0"/>
          <w:color w:val="F57C00"/>
          <w:sz w:val="21"/>
        </w:rPr>
        <w:t xml:space="preserve">▪ </w:t>
      </w:r>
      <w:r>
        <w:rPr>
          <w:rFonts w:ascii="微软雅黑" w:hAnsi="微软雅黑" w:eastAsia="微软雅黑"/>
          <w:b w:val="0"/>
          <w:i w:val="0"/>
          <w:color w:val="202833"/>
          <w:sz w:val="21"/>
        </w:rPr>
        <w:t>人社部10月10日“十五五”发布会：1—9月城镇新增就业1052万人，力争2030年技能人才占就业人员比例升至35%</w:t>
      </w:r>
    </w:p>
    <w:p>
      <w:pPr>
        <w:spacing w:after="60" w:line="312" w:lineRule="auto"/>
      </w:pPr>
      <w:r>
        <w:rPr>
          <w:rFonts w:ascii="微软雅黑" w:hAnsi="微软雅黑" w:eastAsia="微软雅黑"/>
          <w:b/>
          <w:i w:val="0"/>
          <w:color w:val="F57C00"/>
          <w:sz w:val="21"/>
        </w:rPr>
        <w:t xml:space="preserve">▪ </w:t>
      </w:r>
      <w:r>
        <w:rPr>
          <w:rFonts w:ascii="微软雅黑" w:hAnsi="微软雅黑" w:eastAsia="微软雅黑"/>
          <w:b w:val="0"/>
          <w:i w:val="0"/>
          <w:color w:val="202833"/>
          <w:sz w:val="21"/>
        </w:rPr>
        <w:t>人社部10月8日发布《新就业形态劳动者权益保障办法（征求意见稿）》，首次将“不完全劳动关系”纳入保障，意见反馈至11月8日</w:t>
      </w:r>
    </w:p>
    <w:p>
      <w:pPr>
        <w:spacing w:after="60" w:line="312" w:lineRule="auto"/>
      </w:pPr>
      <w:r>
        <w:rPr>
          <w:rFonts w:ascii="微软雅黑" w:hAnsi="微软雅黑" w:eastAsia="微软雅黑"/>
          <w:b/>
          <w:i w:val="0"/>
          <w:color w:val="F57C00"/>
          <w:sz w:val="21"/>
        </w:rPr>
        <w:t xml:space="preserve">▪ </w:t>
      </w:r>
      <w:r>
        <w:rPr>
          <w:rFonts w:ascii="微软雅黑" w:hAnsi="微软雅黑" w:eastAsia="微软雅黑"/>
          <w:b w:val="0"/>
          <w:i w:val="0"/>
          <w:color w:val="202833"/>
          <w:sz w:val="21"/>
        </w:rPr>
        <w:t>重庆出台19条举措推动人工智能赋能人力资源服务业，单项最高补助2000万元</w:t>
      </w:r>
    </w:p>
    <w:p>
      <w:pPr>
        <w:spacing w:after="60" w:line="312" w:lineRule="auto"/>
      </w:pPr>
      <w:r>
        <w:rPr>
          <w:rFonts w:ascii="微软雅黑" w:hAnsi="微软雅黑" w:eastAsia="微软雅黑"/>
          <w:b/>
          <w:i w:val="0"/>
          <w:color w:val="F57C00"/>
          <w:sz w:val="21"/>
        </w:rPr>
        <w:t xml:space="preserve">▪ </w:t>
      </w:r>
      <w:r>
        <w:rPr>
          <w:rFonts w:ascii="微软雅黑" w:hAnsi="微软雅黑" w:eastAsia="微软雅黑"/>
          <w:b w:val="0"/>
          <w:i w:val="0"/>
          <w:color w:val="202833"/>
          <w:sz w:val="21"/>
        </w:rPr>
        <w:t>智联招聘10月12日三季度快报：养老/看护职位数同比增43.9%，增速居所有行业第一</w:t>
      </w:r>
    </w:p>
    <w:p>
      <w:pPr>
        <w:spacing w:after="60" w:line="312" w:lineRule="auto"/>
      </w:pPr>
      <w:r>
        <w:rPr>
          <w:rFonts w:ascii="微软雅黑" w:hAnsi="微软雅黑" w:eastAsia="微软雅黑"/>
          <w:b/>
          <w:i w:val="0"/>
          <w:color w:val="F57C00"/>
          <w:sz w:val="21"/>
        </w:rPr>
        <w:t xml:space="preserve">▪ </w:t>
      </w:r>
      <w:r>
        <w:rPr>
          <w:rFonts w:ascii="微软雅黑" w:hAnsi="微软雅黑" w:eastAsia="微软雅黑"/>
          <w:b w:val="0"/>
          <w:i w:val="0"/>
          <w:color w:val="202833"/>
          <w:sz w:val="21"/>
        </w:rPr>
        <w:t>2026年1—8月我国对外劳务合作派出31.5万人，同比增加4.4万人</w:t>
      </w:r>
    </w:p>
    <w:p>
      <w:pPr>
        <w:spacing w:after="60" w:line="312" w:lineRule="auto"/>
      </w:pPr>
      <w:r>
        <w:rPr>
          <w:rFonts w:ascii="微软雅黑" w:hAnsi="微软雅黑" w:eastAsia="微软雅黑"/>
          <w:b/>
          <w:i w:val="0"/>
          <w:color w:val="F57C00"/>
          <w:sz w:val="21"/>
        </w:rPr>
        <w:t xml:space="preserve">▪ </w:t>
      </w:r>
      <w:r>
        <w:rPr>
          <w:rFonts w:ascii="微软雅黑" w:hAnsi="微软雅黑" w:eastAsia="微软雅黑"/>
          <w:b w:val="0"/>
          <w:i w:val="0"/>
          <w:color w:val="202833"/>
          <w:sz w:val="21"/>
        </w:rPr>
        <w:t>BOSS直聘9月30日斥资200万美元回购27.19万股；二季度营收23.99亿元、经营利润8.63亿元</w:t>
      </w:r>
    </w:p>
    <w:p>
      <w:pPr>
        <w:spacing w:after="120" w:before="240" w:line="312" w:lineRule="auto"/>
        <w:shd w:val="clear" w:fill="EAF1FB"/>
      </w:pPr>
      <w:r>
        <w:rPr>
          <w:rFonts w:ascii="微软雅黑" w:hAnsi="微软雅黑" w:eastAsia="微软雅黑"/>
          <w:b/>
          <w:i w:val="0"/>
          <w:color w:val="1E4E9C"/>
          <w:sz w:val="30"/>
        </w:rPr>
        <w:t>◆ 行业要闻速览</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1. 人社部10月10日发布会系统阐释“十五五”就业与社会保障路径</w:t>
      </w:r>
    </w:p>
    <w:p>
      <w:pPr>
        <w:spacing w:after="140" w:before="0" w:line="312" w:lineRule="auto"/>
        <w:ind w:left="113"/>
      </w:pPr>
      <w:r>
        <w:rPr>
          <w:rFonts w:ascii="微软雅黑" w:hAnsi="微软雅黑" w:eastAsia="微软雅黑"/>
          <w:b w:val="0"/>
          <w:i w:val="0"/>
          <w:color w:val="202833"/>
          <w:sz w:val="22"/>
        </w:rPr>
        <w:t>10月10日，国务院新闻办公室举行“开局起步‘十五五’”系列主题新闻发布会，人力资源和社会保障部新闻发言人、副部长李忠等介绍“十五五”时期推进就业和社会保障高质量发展有关情况。会上披露，2026年1—9月全国城镇新增就业1052万人，就业形势总体稳定（据中国新闻网、光明网10月10日报道）。</w:t>
      </w:r>
    </w:p>
    <w:p>
      <w:pPr>
        <w:spacing w:after="140" w:before="0" w:line="312" w:lineRule="auto"/>
        <w:ind w:left="113"/>
      </w:pPr>
      <w:r>
        <w:rPr>
          <w:rFonts w:ascii="微软雅黑" w:hAnsi="微软雅黑" w:eastAsia="微软雅黑"/>
          <w:b w:val="0"/>
          <w:i w:val="0"/>
          <w:color w:val="202833"/>
          <w:sz w:val="22"/>
        </w:rPr>
        <w:t>发布会提出，力争“十五五”时期基本养老保险参保率稳定在95%以上，失业保险参保达到2.55亿人，工伤保险参保达到3.45亿人；同时将持续规范基本养老保险基金、年金基金投资运营，稳步实现保值增值（据光明网、中证网10月10日报道）。参保扩面与基金稳健运营并进，为人力资源服务的公共采购与市场化协同打开空间。</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2. “十五五”锚定技能人才目标：2030年占比升至35%、大力开展补贴性培训</w:t>
      </w:r>
    </w:p>
    <w:p>
      <w:pPr>
        <w:spacing w:after="140" w:before="0" w:line="312" w:lineRule="auto"/>
        <w:ind w:left="113"/>
      </w:pPr>
      <w:r>
        <w:rPr>
          <w:rFonts w:ascii="微软雅黑" w:hAnsi="微软雅黑" w:eastAsia="微软雅黑"/>
          <w:b w:val="0"/>
          <w:i w:val="0"/>
          <w:color w:val="202833"/>
          <w:sz w:val="22"/>
        </w:rPr>
        <w:t>据中国新闻网10月10日报道，“十五五”时期将力争到2030年技能人才占就业人员比例升至35%，并大力开展补贴性职业技能培训，动态挖掘新职业序列、建立常态化新职业征集发布机制，加快新职业国家标准编制（据人民网10月12日报道）。</w:t>
      </w:r>
    </w:p>
    <w:p>
      <w:pPr>
        <w:spacing w:after="140" w:before="0" w:line="312" w:lineRule="auto"/>
        <w:ind w:left="113"/>
      </w:pPr>
      <w:r>
        <w:rPr>
          <w:rFonts w:ascii="微软雅黑" w:hAnsi="微软雅黑" w:eastAsia="微软雅黑"/>
          <w:b w:val="0"/>
          <w:i w:val="0"/>
          <w:color w:val="202833"/>
          <w:sz w:val="22"/>
        </w:rPr>
        <w:t>技能人才培养与新职业评价体系的完善，将直接拉动职业培训、技能评价与人才服务需求，为招聘服务与HR科技企业提供政策与实践的对接窗口。</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3. 人社部发布《新就业形态劳动者权益保障办法（征求意见稿）》</w:t>
      </w:r>
    </w:p>
    <w:p>
      <w:pPr>
        <w:spacing w:after="140" w:before="0" w:line="312" w:lineRule="auto"/>
        <w:ind w:left="113"/>
      </w:pPr>
      <w:r>
        <w:rPr>
          <w:rFonts w:ascii="微软雅黑" w:hAnsi="微软雅黑" w:eastAsia="微软雅黑"/>
          <w:b w:val="0"/>
          <w:i w:val="0"/>
          <w:color w:val="202833"/>
          <w:sz w:val="22"/>
        </w:rPr>
        <w:t>10月8日，人力资源社会保障部发布《新就业形态劳动者权益保障办法（征求意见稿）》，从即日起至11月8日向社会公开征求意见。这是我国首次以规章形式，将“不完全劳动关系”纳入保障范围，更好保障外卖员、网约车司机等新就业形态劳动者权益（据央广网、中国青年网、新浪财经10月8—10日报道）。</w:t>
      </w:r>
    </w:p>
    <w:p>
      <w:pPr>
        <w:spacing w:after="140" w:line="312" w:lineRule="auto"/>
        <w:shd w:val="clear" w:fill="FFF4E6"/>
      </w:pPr>
      <w:r>
        <w:rPr>
          <w:rFonts w:ascii="微软雅黑" w:hAnsi="微软雅黑" w:eastAsia="微软雅黑"/>
          <w:b/>
          <w:i w:val="0"/>
          <w:color w:val="F57C00"/>
          <w:sz w:val="22"/>
        </w:rPr>
        <w:t>【重点】</w:t>
      </w:r>
      <w:r>
        <w:rPr>
          <w:rFonts w:ascii="微软雅黑" w:hAnsi="微软雅黑" w:eastAsia="微软雅黑"/>
          <w:b w:val="0"/>
          <w:i w:val="0"/>
          <w:color w:val="202833"/>
          <w:sz w:val="22"/>
        </w:rPr>
        <w:t xml:space="preserve">  </w:t>
      </w:r>
      <w:r>
        <w:rPr>
          <w:rFonts w:ascii="微软雅黑" w:hAnsi="微软雅黑" w:eastAsia="微软雅黑"/>
          <w:b w:val="0"/>
          <w:i w:val="0"/>
          <w:color w:val="202833"/>
          <w:sz w:val="22"/>
        </w:rPr>
        <w:t>征求意见稿标志着新就业形态权益保障由“政策文件”升级为“部门规章”，将对企业用工模式、平台责任划分与灵活用工合规成本产生深远影响，是本周期最值得深读的立法信号。</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4. 重庆出台19条举措推动AI赋能人力资源服务业，单项最高补助2000万元</w:t>
      </w:r>
    </w:p>
    <w:p>
      <w:pPr>
        <w:spacing w:after="140" w:before="0" w:line="312" w:lineRule="auto"/>
        <w:ind w:left="113"/>
      </w:pPr>
      <w:r>
        <w:rPr>
          <w:rFonts w:ascii="微软雅黑" w:hAnsi="微软雅黑" w:eastAsia="微软雅黑"/>
          <w:b w:val="0"/>
          <w:i w:val="0"/>
          <w:color w:val="202833"/>
          <w:sz w:val="22"/>
        </w:rPr>
        <w:t>据上游新闻、重庆日报10月9日至12日报道，重庆印发《重庆市推动人工智能赋能人力资源服务业高质量发展若干措施》，共19条举措，围绕人力资源培养、评价、流动、利用、保障与治理五大核心业务，从“数、算、模、用”夯实智能应用底座，对开展AI大模型训练推理、数据标注、数据分析等算力应用给予补贴，单项最高补助2000万元。</w:t>
      </w:r>
    </w:p>
    <w:p>
      <w:pPr>
        <w:spacing w:after="140" w:before="0" w:line="312" w:lineRule="auto"/>
        <w:ind w:left="113"/>
      </w:pPr>
      <w:r>
        <w:rPr>
          <w:rFonts w:ascii="微软雅黑" w:hAnsi="微软雅黑" w:eastAsia="微软雅黑"/>
          <w:b w:val="0"/>
          <w:i w:val="0"/>
          <w:color w:val="202833"/>
          <w:sz w:val="22"/>
        </w:rPr>
        <w:t>地方层面以“政策＋算力＋场景”组合拳推动行业智能化升级，为人服机构数字化转型提供了明确的资金与场景支撑，也为“AI＋人力资源”赛道释放了地方采购与共建机会。</w:t>
      </w:r>
    </w:p>
    <w:p>
      <w:pPr>
        <w:spacing w:after="200" w:line="312" w:lineRule="auto"/>
        <w:ind w:left="113"/>
        <w:shd w:val="clear" w:fill="EAF1FB"/>
      </w:pPr>
      <w:r>
        <w:rPr>
          <w:rFonts w:ascii="微软雅黑" w:hAnsi="微软雅黑" w:eastAsia="微软雅黑"/>
          <w:b/>
          <w:i w:val="0"/>
          <w:color w:val="F57C00"/>
          <w:sz w:val="22"/>
        </w:rPr>
        <w:t>判断：</w:t>
      </w:r>
      <w:r>
        <w:rPr>
          <w:rFonts w:ascii="微软雅黑" w:hAnsi="微软雅黑" w:eastAsia="微软雅黑"/>
          <w:b w:val="0"/>
          <w:i w:val="0"/>
          <w:color w:val="202833"/>
          <w:sz w:val="22"/>
        </w:rPr>
        <w:t>政策端“十五五”顶层设计落地为行业提供中长期确定性，权益保障从“政策倡导”走向“规章立法”，地方端以AI赋能人力资源服务业开辟新增长点。“顶层定调＋立法补位＋地方加码”共同构成当前行业最鲜明的政策底色。</w:t>
      </w:r>
    </w:p>
    <w:p>
      <w:pPr>
        <w:spacing w:after="120" w:before="240" w:line="312" w:lineRule="auto"/>
        <w:shd w:val="clear" w:fill="EAF1FB"/>
      </w:pPr>
      <w:r>
        <w:rPr>
          <w:rFonts w:ascii="微软雅黑" w:hAnsi="微软雅黑" w:eastAsia="微软雅黑"/>
          <w:b/>
          <w:i w:val="0"/>
          <w:color w:val="1E4E9C"/>
          <w:sz w:val="30"/>
        </w:rPr>
        <w:t>◆ 在线招聘板块</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智联招聘：三季度快报显示养老/看护职位数同比增43.9%居首</w:t>
      </w:r>
    </w:p>
    <w:p>
      <w:pPr>
        <w:spacing w:after="140" w:before="0" w:line="312" w:lineRule="auto"/>
        <w:ind w:left="113"/>
      </w:pPr>
      <w:r>
        <w:rPr>
          <w:rFonts w:ascii="微软雅黑" w:hAnsi="微软雅黑" w:eastAsia="微软雅黑"/>
          <w:b w:val="0"/>
          <w:i w:val="0"/>
          <w:color w:val="202833"/>
          <w:sz w:val="22"/>
        </w:rPr>
        <w:t>10月12日，智联招聘发布《2026年三季度人才市场热点快报》。报告显示，第三季度新材料、大数据、人工智能等新质生产力相关行业保持增长，同时养老/看护行业职位数同比增速达43.9%，位居所有行业第一；三季度应届生招聘供需前五行业为软件/IT服务、互联网、集成电路等（据新浪财经、东方财富网、重庆日报10月12日报道）。</w:t>
      </w:r>
    </w:p>
    <w:p>
      <w:pPr>
        <w:spacing w:after="140" w:before="0" w:line="312" w:lineRule="auto"/>
        <w:ind w:left="113"/>
      </w:pPr>
      <w:r>
        <w:rPr>
          <w:rFonts w:ascii="微软雅黑" w:hAnsi="微软雅黑" w:eastAsia="微软雅黑"/>
          <w:b w:val="0"/>
          <w:i w:val="0"/>
          <w:color w:val="202833"/>
          <w:sz w:val="22"/>
        </w:rPr>
        <w:t>以“季度人才市场快报＋垂直产业人才报告”持续输出就业市场观察，已成为智联招聘强化品牌与数据资产的核心打法，也为企业理解结构性就业矛盾提供了量化依据。</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BOSS直聘：二季度营收23.99亿元，9月30日再斥资200万美元回购27.19万股</w:t>
      </w:r>
    </w:p>
    <w:p>
      <w:pPr>
        <w:spacing w:after="140" w:before="0" w:line="312" w:lineRule="auto"/>
        <w:ind w:left="113"/>
      </w:pPr>
      <w:r>
        <w:rPr>
          <w:rFonts w:ascii="微软雅黑" w:hAnsi="微软雅黑" w:eastAsia="微软雅黑"/>
          <w:b w:val="0"/>
          <w:i w:val="0"/>
          <w:color w:val="202833"/>
          <w:sz w:val="22"/>
        </w:rPr>
        <w:t>据东方财富网、中金在线10月2日报道，BOSS直聘-W（02076.HK）于2026年9月30日斥资200万美元回购27.19万股，每股回购价7.32—7.40美元。此前披露的2026年第二季度业绩显示，公司营收23.99亿元、经营利润8.63亿元，盈利能力持续兑现。</w:t>
      </w:r>
    </w:p>
    <w:p>
      <w:pPr>
        <w:spacing w:after="140" w:before="0" w:line="312" w:lineRule="auto"/>
        <w:ind w:left="113"/>
      </w:pPr>
      <w:r>
        <w:rPr>
          <w:rFonts w:ascii="微软雅黑" w:hAnsi="微软雅黑" w:eastAsia="微软雅黑"/>
          <w:b w:val="0"/>
          <w:i w:val="0"/>
          <w:color w:val="202833"/>
          <w:sz w:val="22"/>
        </w:rPr>
        <w:t>持续回购反映管理层对公司长期价值的信心；在招聘平台竞争由“规模扩张”转向“质量与效率”的阶段，稳健的财务表现与股东回报成为资本市场的重要考题。</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同道猎聘：AI赋能“BHC生态”，业绩拐点显现</w:t>
      </w:r>
    </w:p>
    <w:p>
      <w:pPr>
        <w:spacing w:after="140" w:before="0" w:line="312" w:lineRule="auto"/>
        <w:ind w:left="113"/>
      </w:pPr>
      <w:r>
        <w:rPr>
          <w:rFonts w:ascii="微软雅黑" w:hAnsi="微软雅黑" w:eastAsia="微软雅黑"/>
          <w:b w:val="0"/>
          <w:i w:val="0"/>
          <w:color w:val="202833"/>
          <w:sz w:val="22"/>
        </w:rPr>
        <w:t>据行业报道，同道猎聘（06100.HK）2026年上半年以AI赋能“BHC生态”（企业-人才-顾问），业绩拐点全面显现；此前年报显示其2025年净利润1.03亿元，并持续推进AI Agent对招聘价值链的深层重构，将HR从重复劳动中解放，聚焦雇主品牌与组织能力建设。</w:t>
      </w:r>
    </w:p>
    <w:p>
      <w:pPr>
        <w:spacing w:after="140" w:before="0" w:line="312" w:lineRule="auto"/>
        <w:ind w:left="113"/>
      </w:pPr>
      <w:r>
        <w:rPr>
          <w:rFonts w:ascii="微软雅黑" w:hAnsi="微软雅黑" w:eastAsia="微软雅黑"/>
          <w:b w:val="0"/>
          <w:i w:val="0"/>
          <w:color w:val="202833"/>
          <w:sz w:val="22"/>
        </w:rPr>
        <w:t>在“AI＋招聘”进入深水区的背景下，平台如何把AI能力转化为可计费的产品与服务，成为衡量其商业化质量的关键。</w:t>
      </w:r>
    </w:p>
    <w:p>
      <w:pPr>
        <w:spacing w:after="200" w:line="312" w:lineRule="auto"/>
        <w:ind w:left="113"/>
        <w:shd w:val="clear" w:fill="EAF1FB"/>
      </w:pPr>
      <w:r>
        <w:rPr>
          <w:rFonts w:ascii="微软雅黑" w:hAnsi="微软雅黑" w:eastAsia="微软雅黑"/>
          <w:b/>
          <w:i w:val="0"/>
          <w:color w:val="F57C00"/>
          <w:sz w:val="22"/>
        </w:rPr>
        <w:t>判断：</w:t>
      </w:r>
      <w:r>
        <w:rPr>
          <w:rFonts w:ascii="微软雅黑" w:hAnsi="微软雅黑" w:eastAsia="微软雅黑"/>
          <w:b w:val="0"/>
          <w:i w:val="0"/>
          <w:color w:val="202833"/>
          <w:sz w:val="22"/>
        </w:rPr>
        <w:t>头部平台进入“季度数据发布＋AI产品＋资本运作”三重比拼期。智联招聘以产业人才报告强化“数据护城河”，BOSS直聘以持续回购兑现资本市场信心；竞争焦点从“渠道流量”进一步转向“技术效率＋数据洞察＋合规能力”。</w:t>
      </w:r>
    </w:p>
    <w:p>
      <w:pPr>
        <w:spacing w:after="120" w:before="240" w:line="312" w:lineRule="auto"/>
        <w:shd w:val="clear" w:fill="EAF1FB"/>
      </w:pPr>
      <w:r>
        <w:rPr>
          <w:rFonts w:ascii="微软雅黑" w:hAnsi="微软雅黑" w:eastAsia="微软雅黑"/>
          <w:b/>
          <w:i w:val="0"/>
          <w:color w:val="1E4E9C"/>
          <w:sz w:val="30"/>
        </w:rPr>
        <w:t>◆ 出国劳务板块</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2026年1—8月对外劳务合作派出31.5万人，同比增加4.4万人</w:t>
      </w:r>
    </w:p>
    <w:p>
      <w:pPr>
        <w:spacing w:after="140" w:before="0" w:line="312" w:lineRule="auto"/>
        <w:ind w:left="113"/>
      </w:pPr>
      <w:r>
        <w:rPr>
          <w:rFonts w:ascii="微软雅黑" w:hAnsi="微软雅黑" w:eastAsia="微软雅黑"/>
          <w:b w:val="0"/>
          <w:i w:val="0"/>
          <w:color w:val="202833"/>
          <w:sz w:val="22"/>
        </w:rPr>
        <w:t>据商务部对外投资和经济合作司统计，2026年1—8月，我国企业共向境外派出各类劳务人员31.5万人，较上年同期增加4.4万人；其中承包工程项下派出9.2万人、劳务合作项下派出22.3万人，月末在外各类劳务人员规模保持稳定（据同花顺9月24日报道）。</w:t>
      </w:r>
    </w:p>
    <w:p>
      <w:pPr>
        <w:spacing w:after="140" w:before="0" w:line="312" w:lineRule="auto"/>
        <w:ind w:left="113"/>
      </w:pPr>
      <w:r>
        <w:rPr>
          <w:rFonts w:ascii="微软雅黑" w:hAnsi="微软雅黑" w:eastAsia="微软雅黑"/>
          <w:b w:val="0"/>
          <w:i w:val="0"/>
          <w:color w:val="202833"/>
          <w:sz w:val="22"/>
        </w:rPr>
        <w:t>从月度累计看，1—7月派出27.4万人、1—8月31.5万人，逐月回升态势清晰。跨境劳务在海外项目复苏与供应链重构带动下稳步回暖，为劳务输出机构拓展市场提供了窗口。</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地方密集公布对外劳务合作企业名单，强化“认准资质”提醒</w:t>
      </w:r>
    </w:p>
    <w:p>
      <w:pPr>
        <w:spacing w:after="140" w:before="0" w:line="312" w:lineRule="auto"/>
        <w:ind w:left="113"/>
      </w:pPr>
      <w:r>
        <w:rPr>
          <w:rFonts w:ascii="微软雅黑" w:hAnsi="微软雅黑" w:eastAsia="微软雅黑"/>
          <w:b w:val="0"/>
          <w:i w:val="0"/>
          <w:color w:val="202833"/>
          <w:sz w:val="22"/>
        </w:rPr>
        <w:t>9月24日，贵阳市商务局公布经批准的对外劳务合作企业名单，共4家企业具备相关资质，劳务经营范围均不含港澳台地区（据同花顺报道）。此前，四川、湖南、大连等地也持续动态更新对外劳务合作经营资格企业名单，提示出国务工人员认准正规企业。</w:t>
      </w:r>
    </w:p>
    <w:p>
      <w:pPr>
        <w:spacing w:after="140" w:before="0" w:line="312" w:lineRule="auto"/>
        <w:ind w:left="113"/>
      </w:pPr>
      <w:r>
        <w:rPr>
          <w:rFonts w:ascii="微软雅黑" w:hAnsi="微软雅黑" w:eastAsia="微软雅黑"/>
          <w:b w:val="0"/>
          <w:i w:val="0"/>
          <w:color w:val="202833"/>
          <w:sz w:val="22"/>
        </w:rPr>
        <w:t>名单化管理与风险提示并行，反映主管部门在净化市场、防范“黑中介”方面的持续发力，资质合规已成为劳务输出机构的生存底线。</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出国劳务骗局与源头整治并存，合规与风控成机构生命线</w:t>
      </w:r>
    </w:p>
    <w:p>
      <w:pPr>
        <w:spacing w:after="140" w:before="0" w:line="312" w:lineRule="auto"/>
        <w:ind w:left="113"/>
      </w:pPr>
      <w:r>
        <w:rPr>
          <w:rFonts w:ascii="微软雅黑" w:hAnsi="微软雅黑" w:eastAsia="微软雅黑"/>
          <w:b w:val="0"/>
          <w:i w:val="0"/>
          <w:color w:val="202833"/>
          <w:sz w:val="22"/>
        </w:rPr>
        <w:t>近期行业风险案件与治理行动并存：一方面，有求职者“花3.7万元找中介出国劳务、应聘电工却被安排重体力劳动”的纠纷被曝光；另一方面，江苏宝应等地部署“出国劳务中介源头整治”工作，从源头打击无资质代办与虚假宣传。</w:t>
      </w:r>
    </w:p>
    <w:p>
      <w:pPr>
        <w:spacing w:after="140" w:line="312" w:lineRule="auto"/>
        <w:shd w:val="clear" w:fill="FDEAEA"/>
      </w:pPr>
      <w:r>
        <w:rPr>
          <w:rFonts w:ascii="微软雅黑" w:hAnsi="微软雅黑" w:eastAsia="微软雅黑"/>
          <w:b/>
          <w:i w:val="0"/>
          <w:color w:val="D62B1F"/>
          <w:sz w:val="22"/>
        </w:rPr>
        <w:t xml:space="preserve">⚠ </w:t>
      </w:r>
      <w:r>
        <w:rPr>
          <w:rFonts w:ascii="微软雅黑" w:hAnsi="微软雅黑" w:eastAsia="微软雅黑"/>
          <w:b w:val="0"/>
          <w:i w:val="0"/>
          <w:color w:val="202833"/>
          <w:sz w:val="22"/>
        </w:rPr>
        <w:t>风险提示：对劳务输出机构而言，资质合规、合同规范、履约保障已成生存底线；对求职者，认准官方公示名单、警惕“高薪诱饵”是防骗关键。</w:t>
      </w:r>
    </w:p>
    <w:p>
      <w:pPr>
        <w:spacing w:after="200" w:line="312" w:lineRule="auto"/>
        <w:ind w:left="113"/>
        <w:shd w:val="clear" w:fill="EAF1FB"/>
      </w:pPr>
      <w:r>
        <w:rPr>
          <w:rFonts w:ascii="微软雅黑" w:hAnsi="微软雅黑" w:eastAsia="微软雅黑"/>
          <w:b/>
          <w:i w:val="0"/>
          <w:color w:val="F57C00"/>
          <w:sz w:val="22"/>
        </w:rPr>
        <w:t>判断：</w:t>
      </w:r>
      <w:r>
        <w:rPr>
          <w:rFonts w:ascii="微软雅黑" w:hAnsi="微软雅黑" w:eastAsia="微软雅黑"/>
          <w:b w:val="0"/>
          <w:i w:val="0"/>
          <w:color w:val="202833"/>
          <w:sz w:val="22"/>
        </w:rPr>
        <w:t>跨境劳务派出规模延续回升，主管部门与地方持续强化“资质名单＋源头整治”的合规导向。行业在“走出去”需求与“防诈骗”治理之间寻求平衡，正规机构与规范化服务仍是主线。</w:t>
      </w:r>
    </w:p>
    <w:p>
      <w:pPr>
        <w:spacing w:after="120" w:before="240" w:line="312" w:lineRule="auto"/>
        <w:shd w:val="clear" w:fill="EAF1FB"/>
      </w:pPr>
      <w:r>
        <w:rPr>
          <w:rFonts w:ascii="微软雅黑" w:hAnsi="微软雅黑" w:eastAsia="微软雅黑"/>
          <w:b/>
          <w:i w:val="0"/>
          <w:color w:val="1E4E9C"/>
          <w:sz w:val="30"/>
        </w:rPr>
        <w:t>◆ 灵活用工板块</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灵活就业人员规模超2亿人，参加职工医保首个国家专项行动落地推进</w:t>
      </w:r>
    </w:p>
    <w:p>
      <w:pPr>
        <w:spacing w:after="140" w:before="0" w:line="312" w:lineRule="auto"/>
        <w:ind w:left="113"/>
      </w:pPr>
      <w:r>
        <w:rPr>
          <w:rFonts w:ascii="微软雅黑" w:hAnsi="微软雅黑" w:eastAsia="微软雅黑"/>
          <w:b w:val="0"/>
          <w:i w:val="0"/>
          <w:color w:val="202833"/>
          <w:sz w:val="22"/>
        </w:rPr>
        <w:t>我国灵活就业人员规模已超过2亿人。国家医保局、财政部等七部门此前联合印发《关于开展灵活就业人员、农民工、新就业形态人员参加基本医疗保险提质专项行动的通知》，明确灵活就业人员办理职工医保关系转移接续时异地缴费年限可累计计算，破除参保壁垒、鼓励平台企业对稳定接单人员给予参保支持（据新华网、中国经济网报道）。进入10月，各地进入政策落地推进阶段，媒体持续聚焦“灵活就业人员参加职工医保如何落地”等实操议题（据新浪财经、中国经济网10月12日报道）。</w:t>
      </w:r>
    </w:p>
    <w:p>
      <w:pPr>
        <w:spacing w:after="140" w:line="312" w:lineRule="auto"/>
        <w:shd w:val="clear" w:fill="FFF4E6"/>
      </w:pPr>
      <w:r>
        <w:rPr>
          <w:rFonts w:ascii="微软雅黑" w:hAnsi="微软雅黑" w:eastAsia="微软雅黑"/>
          <w:b/>
          <w:i w:val="0"/>
          <w:color w:val="F57C00"/>
          <w:sz w:val="22"/>
        </w:rPr>
        <w:t>【重点】</w:t>
      </w:r>
      <w:r>
        <w:rPr>
          <w:rFonts w:ascii="微软雅黑" w:hAnsi="微软雅黑" w:eastAsia="微软雅黑"/>
          <w:b w:val="0"/>
          <w:i w:val="0"/>
          <w:color w:val="202833"/>
          <w:sz w:val="22"/>
        </w:rPr>
        <w:t xml:space="preserve">  </w:t>
      </w:r>
      <w:r>
        <w:rPr>
          <w:rFonts w:ascii="微软雅黑" w:hAnsi="微软雅黑" w:eastAsia="微软雅黑"/>
          <w:b w:val="0"/>
          <w:i w:val="0"/>
          <w:color w:val="202833"/>
          <w:sz w:val="22"/>
        </w:rPr>
        <w:t>保扩面与权益保障并进，意味着灵活用工平台的“合规成本”将成为商业模式设计的核心变量，具备真实用工场景与数字化交付能力的平台将获得相对优势。</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灵活用工税务合规红线持续收紧，虚开发票案件屡被查处</w:t>
      </w:r>
    </w:p>
    <w:p>
      <w:pPr>
        <w:spacing w:after="140" w:before="0" w:line="312" w:lineRule="auto"/>
        <w:ind w:left="113"/>
      </w:pPr>
      <w:r>
        <w:rPr>
          <w:rFonts w:ascii="微软雅黑" w:hAnsi="微软雅黑" w:eastAsia="微软雅黑"/>
          <w:b w:val="0"/>
          <w:i w:val="0"/>
          <w:color w:val="202833"/>
          <w:sz w:val="22"/>
        </w:rPr>
        <w:t>据快资讯9月10日报道，警方查处一起借灵活用工平台虚开发票、帮企业逃税案件，15人被刑拘——涉案企业将部分在职员工包装成第三方外包公司员工，再通过灵活用工平台以发包劳务方式发放工资。此前，国家税务总局鞍山市税务局稽查局也依法查处了灵活用工平台辽宁合众易薪科技有限公司虚开发票案件。</w:t>
      </w:r>
    </w:p>
    <w:p>
      <w:pPr>
        <w:spacing w:after="140" w:before="0" w:line="312" w:lineRule="auto"/>
        <w:ind w:left="113"/>
      </w:pPr>
      <w:r>
        <w:rPr>
          <w:rFonts w:ascii="微软雅黑" w:hAnsi="微软雅黑" w:eastAsia="微软雅黑"/>
          <w:b w:val="0"/>
          <w:i w:val="0"/>
          <w:color w:val="202833"/>
          <w:sz w:val="22"/>
        </w:rPr>
        <w:t>“四流合一”（业务流、资金流、合同流、发票流完全匹配）成为硬指标，以实际业务角色而非合同名称定性的监管思路持续落地。行业从“一刀切开票”走向“业务实质定性”，平台商业模式与税务处理逻辑面临系统性重构。</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合规化、数字化成为灵活用工平台选型核心</w:t>
      </w:r>
    </w:p>
    <w:p>
      <w:pPr>
        <w:spacing w:after="140" w:before="0" w:line="312" w:lineRule="auto"/>
        <w:ind w:left="113"/>
      </w:pPr>
      <w:r>
        <w:rPr>
          <w:rFonts w:ascii="微软雅黑" w:hAnsi="微软雅黑" w:eastAsia="微软雅黑"/>
          <w:b w:val="0"/>
          <w:i w:val="0"/>
          <w:color w:val="202833"/>
          <w:sz w:val="22"/>
        </w:rPr>
        <w:t>据中国发展网9月28日发布的《2026年十大灵活用工平台盘点与合规性分析》，艾瑞咨询2026年数据显示国内灵活就业人员规模已突破2.45亿（口径含更广就业形态）。平台资质、风控能力、服务覆盖与技术实力成为企业选型的核心评判标准，“合规＋技术”双轮驱动成为行业公认的发展主线。</w:t>
      </w:r>
    </w:p>
    <w:p>
      <w:pPr>
        <w:spacing w:after="140" w:before="0" w:line="312" w:lineRule="auto"/>
        <w:ind w:left="113"/>
      </w:pPr>
      <w:r>
        <w:rPr>
          <w:rFonts w:ascii="微软雅黑" w:hAnsi="微软雅黑" w:eastAsia="微软雅黑"/>
          <w:b w:val="0"/>
          <w:i w:val="0"/>
          <w:color w:val="202833"/>
          <w:sz w:val="22"/>
        </w:rPr>
        <w:t>在监管重塑背景下，企业临时性、季节性用工中的个税申报与薪酬发放合规压力上升，具备背景真实性、技术能力与落地服务网络的平台更受青睐。</w:t>
      </w:r>
    </w:p>
    <w:p>
      <w:pPr>
        <w:spacing w:after="200" w:line="312" w:lineRule="auto"/>
        <w:ind w:left="113"/>
        <w:shd w:val="clear" w:fill="EAF1FB"/>
      </w:pPr>
      <w:r>
        <w:rPr>
          <w:rFonts w:ascii="微软雅黑" w:hAnsi="微软雅黑" w:eastAsia="微软雅黑"/>
          <w:b/>
          <w:i w:val="0"/>
          <w:color w:val="F57C00"/>
          <w:sz w:val="22"/>
        </w:rPr>
        <w:t>判断：</w:t>
      </w:r>
      <w:r>
        <w:rPr>
          <w:rFonts w:ascii="微软雅黑" w:hAnsi="微软雅黑" w:eastAsia="微软雅黑"/>
          <w:b w:val="0"/>
          <w:i w:val="0"/>
          <w:color w:val="202833"/>
          <w:sz w:val="22"/>
        </w:rPr>
        <w:t>本板块最强变量来自“权益保障立法”与“税务合规红线”的双重收紧。《新就业形态劳动者权益保障办法（征求意见稿）》将“不完全劳动关系”纳入保障，叠加灵活就业人员参保扩面行动，行业正从“规模扩张”转向“合规经营＋技术提效”。</w:t>
      </w:r>
    </w:p>
    <w:p>
      <w:pPr>
        <w:spacing w:after="120" w:before="240" w:line="312" w:lineRule="auto"/>
        <w:shd w:val="clear" w:fill="EAF1FB"/>
      </w:pPr>
      <w:r>
        <w:rPr>
          <w:rFonts w:ascii="微软雅黑" w:hAnsi="微软雅黑" w:eastAsia="微软雅黑"/>
          <w:b/>
          <w:i w:val="0"/>
          <w:color w:val="1E4E9C"/>
          <w:sz w:val="30"/>
        </w:rPr>
        <w:t>◆ 投资创业板块</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人才服务与创投深度融合，“金牌陪跑人”等模式受关注</w:t>
      </w:r>
    </w:p>
    <w:p>
      <w:pPr>
        <w:spacing w:after="140" w:before="0" w:line="312" w:lineRule="auto"/>
        <w:ind w:left="113"/>
      </w:pPr>
      <w:r>
        <w:rPr>
          <w:rFonts w:ascii="微软雅黑" w:hAnsi="微软雅黑" w:eastAsia="微软雅黑"/>
          <w:b w:val="0"/>
          <w:i w:val="0"/>
          <w:color w:val="202833"/>
          <w:sz w:val="22"/>
        </w:rPr>
        <w:t>据人民网10月13日报道，重庆由市委人才办统筹，市人力社保局、市委金融办、市科技局印发《重庆市人才创新创业“金牌陪跑人”队伍建设方案》，明确抓好技术经理人队伍，为科创项目提供全流程陪伴式服务。同期，广州“穗创未来”新一轮巡展、宁夏银川第十届大学生创业营销挑战赛、江门“创业伴飞”等服务密集落地（据南方网、人民网宁夏视窗报道）。</w:t>
      </w:r>
    </w:p>
    <w:p>
      <w:pPr>
        <w:spacing w:after="140" w:before="0" w:line="312" w:lineRule="auto"/>
        <w:ind w:left="113"/>
      </w:pPr>
      <w:r>
        <w:rPr>
          <w:rFonts w:ascii="微软雅黑" w:hAnsi="微软雅黑" w:eastAsia="微软雅黑"/>
          <w:b w:val="0"/>
          <w:i w:val="0"/>
          <w:color w:val="202833"/>
          <w:sz w:val="22"/>
        </w:rPr>
        <w:t>“人才服务＋资本对接＋载体孵化”的一体化模式，正成为地方政府推动人才与产业协同的重要路径，也为人力资源服务机构带来合作与并购机会。</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人力资源数字化与智慧人事系统加速落地</w:t>
      </w:r>
    </w:p>
    <w:p>
      <w:pPr>
        <w:spacing w:after="140" w:before="0" w:line="312" w:lineRule="auto"/>
        <w:ind w:left="113"/>
      </w:pPr>
      <w:r>
        <w:rPr>
          <w:rFonts w:ascii="微软雅黑" w:hAnsi="微软雅黑" w:eastAsia="微软雅黑"/>
          <w:b w:val="0"/>
          <w:i w:val="0"/>
          <w:color w:val="202833"/>
          <w:sz w:val="22"/>
        </w:rPr>
        <w:t>据T客汇10月12日报道，江苏交控“智慧人事系统”圆满验收——作为省级国有独资交通基础设施主力企业，其以数智化重塑人力资源管理流程，成为国企人力资源数字化转型的样本。</w:t>
      </w:r>
    </w:p>
    <w:p>
      <w:pPr>
        <w:spacing w:after="140" w:before="0" w:line="312" w:lineRule="auto"/>
        <w:ind w:left="113"/>
      </w:pPr>
      <w:r>
        <w:rPr>
          <w:rFonts w:ascii="微软雅黑" w:hAnsi="微软雅黑" w:eastAsia="微软雅黑"/>
          <w:b w:val="0"/>
          <w:i w:val="0"/>
          <w:color w:val="202833"/>
          <w:sz w:val="22"/>
        </w:rPr>
        <w:t>人力资源信息系统（HR SaaS/智慧人事）在国企、大型集团中的渗透加速，具备一体化交付与数据治理能力的技术服务商正迎来采购窗口。</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AI创投热度外溢，“人才成为AI行业最重要变量”</w:t>
      </w:r>
    </w:p>
    <w:p>
      <w:pPr>
        <w:spacing w:after="140" w:before="0" w:line="312" w:lineRule="auto"/>
        <w:ind w:left="113"/>
      </w:pPr>
      <w:r>
        <w:rPr>
          <w:rFonts w:ascii="微软雅黑" w:hAnsi="微软雅黑" w:eastAsia="微软雅黑"/>
          <w:b w:val="0"/>
          <w:i w:val="0"/>
          <w:color w:val="202833"/>
          <w:sz w:val="22"/>
        </w:rPr>
        <w:t>据36氪10月10—12日报道，一级市场AI赛道保持高热：AI游戏Mod创作平台ModCraft完成数千万元种子轮融资，L4级自动驾驶企业白犀牛完成1亿美元C轮融资，DeepSeek拟领投机器人AI初创公司Winverse AI（估值约4亿美元）；Pitchbook数据显示美国AI领域投资约占总交易额六成以上。</w:t>
      </w:r>
    </w:p>
    <w:p>
      <w:pPr>
        <w:spacing w:after="140" w:line="312" w:lineRule="auto"/>
        <w:shd w:val="clear" w:fill="FFF4E6"/>
      </w:pPr>
      <w:r>
        <w:rPr>
          <w:rFonts w:ascii="微软雅黑" w:hAnsi="微软雅黑" w:eastAsia="微软雅黑"/>
          <w:b/>
          <w:i w:val="0"/>
          <w:color w:val="F57C00"/>
          <w:sz w:val="22"/>
        </w:rPr>
        <w:t>【重点】</w:t>
      </w:r>
      <w:r>
        <w:rPr>
          <w:rFonts w:ascii="微软雅黑" w:hAnsi="微软雅黑" w:eastAsia="微软雅黑"/>
          <w:b w:val="0"/>
          <w:i w:val="0"/>
          <w:color w:val="202833"/>
          <w:sz w:val="22"/>
        </w:rPr>
        <w:t xml:space="preserve">  </w:t>
      </w:r>
      <w:r>
        <w:rPr>
          <w:rFonts w:ascii="微软雅黑" w:hAnsi="微软雅黑" w:eastAsia="微软雅黑"/>
          <w:b w:val="0"/>
          <w:i w:val="0"/>
          <w:color w:val="202833"/>
          <w:sz w:val="22"/>
        </w:rPr>
        <w:t>AI叙事下，“人才招聘与配置”被反复强调为核心变量，为人力资源科技赛道提供了外溢的估值与叙事支撑；同时，AI也在改写招聘与人力服务本身的交付方式。</w:t>
      </w:r>
    </w:p>
    <w:p>
      <w:pPr>
        <w:spacing w:after="200" w:line="312" w:lineRule="auto"/>
        <w:ind w:left="113"/>
        <w:shd w:val="clear" w:fill="EAF1FB"/>
      </w:pPr>
      <w:r>
        <w:rPr>
          <w:rFonts w:ascii="微软雅黑" w:hAnsi="微软雅黑" w:eastAsia="微软雅黑"/>
          <w:b/>
          <w:i w:val="0"/>
          <w:color w:val="F57C00"/>
          <w:sz w:val="22"/>
        </w:rPr>
        <w:t>判断：</w:t>
      </w:r>
      <w:r>
        <w:rPr>
          <w:rFonts w:ascii="微软雅黑" w:hAnsi="微软雅黑" w:eastAsia="微软雅黑"/>
          <w:b w:val="0"/>
          <w:i w:val="0"/>
          <w:color w:val="202833"/>
          <w:sz w:val="22"/>
        </w:rPr>
        <w:t>人力资源赛道投融资呈现“AI＋人才、出海＋用工、国资＋人才集团”三条支线；一级市场对“人才密度”和“AI原生”的偏好明显，创业与投资热点向垂直化、国际化迁移，地方政府“以赛促创、以投引才”的抓手持续加码。</w:t>
      </w:r>
    </w:p>
    <w:p>
      <w:pPr>
        <w:spacing w:after="120" w:before="240" w:line="312" w:lineRule="auto"/>
        <w:shd w:val="clear" w:fill="EAF1FB"/>
      </w:pPr>
      <w:r>
        <w:rPr>
          <w:rFonts w:ascii="微软雅黑" w:hAnsi="微软雅黑" w:eastAsia="微软雅黑"/>
          <w:b/>
          <w:i w:val="0"/>
          <w:color w:val="1E4E9C"/>
          <w:sz w:val="30"/>
        </w:rPr>
        <w:t>◆ 重点事件深度解读</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事件一：《新就业形态劳动者权益保障办法》征求意见——从“政策倡导”到“规章立法”的关键一跃</w:t>
      </w:r>
    </w:p>
    <w:p>
      <w:pPr>
        <w:spacing w:after="140" w:before="0" w:line="312" w:lineRule="auto"/>
        <w:ind w:left="113"/>
      </w:pPr>
      <w:r>
        <w:rPr>
          <w:rFonts w:ascii="微软雅黑" w:hAnsi="微软雅黑" w:eastAsia="微软雅黑"/>
          <w:b w:val="0"/>
          <w:i w:val="0"/>
          <w:color w:val="202833"/>
          <w:sz w:val="22"/>
        </w:rPr>
        <w:t>变革核心：该办法首次以部门规章形式将“不完全劳动关系”纳入保障，意味着对平台从业人员不再简单以“劳动关系/非劳动关系”二分，而是承认介于二者之间的中间态，并据此配置报酬支付、劳动安全、职业伤害保障等权益。</w:t>
      </w:r>
    </w:p>
    <w:p>
      <w:pPr>
        <w:spacing w:after="140" w:before="0" w:line="312" w:lineRule="auto"/>
        <w:ind w:left="113"/>
      </w:pPr>
      <w:r>
        <w:rPr>
          <w:rFonts w:ascii="微软雅黑" w:hAnsi="微软雅黑" w:eastAsia="微软雅黑"/>
          <w:b w:val="0"/>
          <w:i w:val="0"/>
          <w:color w:val="202833"/>
          <w:sz w:val="22"/>
        </w:rPr>
        <w:t>影响研判：其一，平台企业的责任边界被明确，用工模式与成本结构面临重估；其二，灵活用工与外包服务商需完善“业务实质”证据链（任务派单、成果验收、费用依据、结算记录）；其三，具备真实场景、数字化交付与风控能力的平台将获得相对优势，行业集中度有望提升。</w:t>
      </w:r>
    </w:p>
    <w:p>
      <w:pPr>
        <w:spacing w:after="140" w:before="0" w:line="312" w:lineRule="auto"/>
        <w:ind w:left="113"/>
      </w:pPr>
      <w:r>
        <w:rPr>
          <w:rFonts w:ascii="微软雅黑" w:hAnsi="微软雅黑" w:eastAsia="微软雅黑"/>
          <w:b w:val="0"/>
          <w:i w:val="0"/>
          <w:color w:val="202833"/>
          <w:sz w:val="22"/>
        </w:rPr>
        <w:t>行动建议：企业应提前梳理平台从业人员用工情况，评估“不完全劳动关系”认定带来的合规敞口；平台应主动对标征求意见稿完善权益保障机制；投资机构需重估标的的合规成本与利润率结构，意见反馈窗口（至11月8日）值得重点关注。</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事件二：“十五五”就业定调——人力资源服务业的中长期确定性</w:t>
      </w:r>
    </w:p>
    <w:p>
      <w:pPr>
        <w:spacing w:after="140" w:before="0" w:line="312" w:lineRule="auto"/>
        <w:ind w:left="113"/>
      </w:pPr>
      <w:r>
        <w:rPr>
          <w:rFonts w:ascii="微软雅黑" w:hAnsi="微软雅黑" w:eastAsia="微软雅黑"/>
          <w:b w:val="0"/>
          <w:i w:val="0"/>
          <w:color w:val="202833"/>
          <w:sz w:val="22"/>
        </w:rPr>
        <w:t>方向明确：稳就业优先级不变，服务业就业扩容、技能人才培养、新职业评价体系完善并行；2030年技能人才占比35%的目标，将直接拉动职业培训与技能评价需求。</w:t>
      </w:r>
    </w:p>
    <w:p>
      <w:pPr>
        <w:spacing w:after="140" w:before="0" w:line="312" w:lineRule="auto"/>
        <w:ind w:left="113"/>
      </w:pPr>
      <w:r>
        <w:rPr>
          <w:rFonts w:ascii="微软雅黑" w:hAnsi="微软雅黑" w:eastAsia="微软雅黑"/>
          <w:b w:val="0"/>
          <w:i w:val="0"/>
          <w:color w:val="202833"/>
          <w:sz w:val="22"/>
        </w:rPr>
        <w:t>结构性机会：公共就业服务与市场化机构协同深化，AI赋能人力资源服务业（如重庆19条）为HR科技企业提供政策试点与标准共建机会；养老服务、智能制造、数字经济等结构性岗位缺口，为专业化招聘与外包服务打开增量。</w:t>
      </w:r>
    </w:p>
    <w:p>
      <w:pPr>
        <w:spacing w:after="140" w:before="0" w:line="312" w:lineRule="auto"/>
        <w:ind w:left="113"/>
      </w:pPr>
      <w:r>
        <w:rPr>
          <w:rFonts w:ascii="微软雅黑" w:hAnsi="微软雅黑" w:eastAsia="微软雅黑"/>
          <w:b w:val="0"/>
          <w:i w:val="0"/>
          <w:color w:val="202833"/>
          <w:sz w:val="22"/>
        </w:rPr>
        <w:t>风险边界：招聘数据合规、灵活就业劳动者权益保障、跨境劳务法律风险，以及AI算法可能引发的就业公平性议题，均需企业提前研判。</w:t>
      </w:r>
    </w:p>
    <w:p>
      <w:pPr>
        <w:spacing w:after="200" w:line="312" w:lineRule="auto"/>
        <w:ind w:left="113"/>
        <w:shd w:val="clear" w:fill="EAF1FB"/>
      </w:pPr>
      <w:r>
        <w:rPr>
          <w:rFonts w:ascii="微软雅黑" w:hAnsi="微软雅黑" w:eastAsia="微软雅黑"/>
          <w:b/>
          <w:i w:val="0"/>
          <w:color w:val="F57C00"/>
          <w:sz w:val="22"/>
        </w:rPr>
        <w:t>判断：</w:t>
      </w:r>
      <w:r>
        <w:rPr>
          <w:rFonts w:ascii="微软雅黑" w:hAnsi="微软雅黑" w:eastAsia="微软雅黑"/>
          <w:b w:val="0"/>
          <w:i w:val="0"/>
          <w:color w:val="202833"/>
          <w:sz w:val="22"/>
        </w:rPr>
        <w:t>本周最值得深读的，是“新就业形态权益保障立法”与“人社部‘十五五’就业定调”的叠加效应——前者重塑平台与劳动者之间的权责规则，后者锚定中长期就业方向，两者共同指向“人力资源服务业的合规化、专业化、科技化”。</w:t>
      </w:r>
    </w:p>
    <w:p>
      <w:pPr>
        <w:spacing w:after="120" w:before="240" w:line="312" w:lineRule="auto"/>
        <w:shd w:val="clear" w:fill="EAF1FB"/>
      </w:pPr>
      <w:r>
        <w:rPr>
          <w:rFonts w:ascii="微软雅黑" w:hAnsi="微软雅黑" w:eastAsia="微软雅黑"/>
          <w:b/>
          <w:i w:val="0"/>
          <w:color w:val="1E4E9C"/>
          <w:sz w:val="30"/>
        </w:rPr>
        <w:t>◆ 趋势研判与风险提示</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趋势一：政策与立法“双轮驱动”，合规能力成为核心门槛</w:t>
      </w:r>
    </w:p>
    <w:p>
      <w:pPr>
        <w:spacing w:after="140" w:before="0" w:line="312" w:lineRule="auto"/>
        <w:ind w:left="113"/>
      </w:pPr>
      <w:r>
        <w:rPr>
          <w:rFonts w:ascii="微软雅黑" w:hAnsi="微软雅黑" w:eastAsia="微软雅黑"/>
          <w:b w:val="0"/>
          <w:i w:val="0"/>
          <w:color w:val="202833"/>
          <w:sz w:val="22"/>
        </w:rPr>
        <w:t>“十五五”顶层设计提供确定性，《新就业形态劳动者权益保障办法》抬高合规门槛，灵活就业参保专项行动重塑社保逻辑。具备真实业务场景、数据合规与技术交付能力的企业将获得结构性优势，“拼价格”让位于“拼合规、拼效率”。</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趋势二：AI从“概念”走向“交付”，招聘与HR SaaS加速重构</w:t>
      </w:r>
    </w:p>
    <w:p>
      <w:pPr>
        <w:spacing w:after="140" w:before="0" w:line="312" w:lineRule="auto"/>
        <w:ind w:left="113"/>
      </w:pPr>
      <w:r>
        <w:rPr>
          <w:rFonts w:ascii="微软雅黑" w:hAnsi="微软雅黑" w:eastAsia="微软雅黑"/>
          <w:b w:val="0"/>
          <w:i w:val="0"/>
          <w:color w:val="202833"/>
          <w:sz w:val="22"/>
        </w:rPr>
        <w:t>从AI简历解析、智能匹配到AI Agent重构招聘价值链，AI能力正成为招聘平台与HR SaaS的标配；重庆等地以真金白银推动“AI＋人力资源服务业”落地，将进一步加速行业智能化交付与标准化建设。</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趋势三：全球化与跨境用工持续升温</w:t>
      </w:r>
    </w:p>
    <w:p>
      <w:pPr>
        <w:spacing w:after="140" w:before="0" w:line="312" w:lineRule="auto"/>
        <w:ind w:left="113"/>
      </w:pPr>
      <w:r>
        <w:rPr>
          <w:rFonts w:ascii="微软雅黑" w:hAnsi="微软雅黑" w:eastAsia="微软雅黑"/>
          <w:b w:val="0"/>
          <w:i w:val="0"/>
          <w:color w:val="202833"/>
          <w:sz w:val="22"/>
        </w:rPr>
        <w:t>人力资源服务出海、EOR/全球薪酬、对外劳务合作构成“全球化”主线；1—8月对外劳务合作派出31.5万人、同比增加4.4万人，头部机构以“服务网络＋属地化合规”构筑壁垒，跨境劳务在规模回升中走向规范化。</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⚠风险提示</w:t>
      </w:r>
    </w:p>
    <w:p>
      <w:pPr>
        <w:spacing w:after="140" w:line="312" w:lineRule="auto"/>
        <w:shd w:val="clear" w:fill="FDEAEA"/>
      </w:pPr>
      <w:r>
        <w:rPr>
          <w:rFonts w:ascii="微软雅黑" w:hAnsi="微软雅黑" w:eastAsia="微软雅黑"/>
          <w:b/>
          <w:i w:val="0"/>
          <w:color w:val="D62B1F"/>
          <w:sz w:val="22"/>
        </w:rPr>
        <w:t xml:space="preserve">⚠ </w:t>
      </w:r>
      <w:r>
        <w:rPr>
          <w:rFonts w:ascii="微软雅黑" w:hAnsi="微软雅黑" w:eastAsia="微软雅黑"/>
          <w:b w:val="0"/>
          <w:i w:val="0"/>
          <w:color w:val="202833"/>
          <w:sz w:val="22"/>
        </w:rPr>
        <w:t>监管风险：《新就业形态劳动者权益保障办法》正式稿的认定口径与落地细则，可能带来短期用工模式调整与合规成本上升。</w:t>
      </w:r>
    </w:p>
    <w:p>
      <w:pPr>
        <w:spacing w:after="140" w:line="312" w:lineRule="auto"/>
        <w:shd w:val="clear" w:fill="FDEAEA"/>
      </w:pPr>
      <w:r>
        <w:rPr>
          <w:rFonts w:ascii="微软雅黑" w:hAnsi="微软雅黑" w:eastAsia="微软雅黑"/>
          <w:b/>
          <w:i w:val="0"/>
          <w:color w:val="D62B1F"/>
          <w:sz w:val="22"/>
        </w:rPr>
        <w:t xml:space="preserve">⚠ </w:t>
      </w:r>
      <w:r>
        <w:rPr>
          <w:rFonts w:ascii="微软雅黑" w:hAnsi="微软雅黑" w:eastAsia="微软雅黑"/>
          <w:b w:val="0"/>
          <w:i w:val="0"/>
          <w:color w:val="202833"/>
          <w:sz w:val="22"/>
        </w:rPr>
        <w:t>税务风险：灵活用工平台“业务实质定性”与“四流合一”监管持续收紧，虚开发票案件高发，“假外包真派遣”面临处罚风险。</w:t>
      </w:r>
    </w:p>
    <w:p>
      <w:pPr>
        <w:spacing w:after="140" w:line="312" w:lineRule="auto"/>
        <w:shd w:val="clear" w:fill="FDEAEA"/>
      </w:pPr>
      <w:r>
        <w:rPr>
          <w:rFonts w:ascii="微软雅黑" w:hAnsi="微软雅黑" w:eastAsia="微软雅黑"/>
          <w:b/>
          <w:i w:val="0"/>
          <w:color w:val="D62B1F"/>
          <w:sz w:val="22"/>
        </w:rPr>
        <w:t xml:space="preserve">⚠ </w:t>
      </w:r>
      <w:r>
        <w:rPr>
          <w:rFonts w:ascii="微软雅黑" w:hAnsi="微软雅黑" w:eastAsia="微软雅黑"/>
          <w:b w:val="0"/>
          <w:i w:val="0"/>
          <w:color w:val="202833"/>
          <w:sz w:val="22"/>
        </w:rPr>
        <w:t>权益保障风险：灵活就业人员社保参保、劳动权益保障仍是政策与社会关注焦点，用工关系认定争议将持续。</w:t>
      </w:r>
    </w:p>
    <w:p>
      <w:pPr>
        <w:spacing w:after="140" w:line="312" w:lineRule="auto"/>
        <w:shd w:val="clear" w:fill="FDEAEA"/>
      </w:pPr>
      <w:r>
        <w:rPr>
          <w:rFonts w:ascii="微软雅黑" w:hAnsi="微软雅黑" w:eastAsia="微软雅黑"/>
          <w:b/>
          <w:i w:val="0"/>
          <w:color w:val="D62B1F"/>
          <w:sz w:val="22"/>
        </w:rPr>
        <w:t xml:space="preserve">⚠ </w:t>
      </w:r>
      <w:r>
        <w:rPr>
          <w:rFonts w:ascii="微软雅黑" w:hAnsi="微软雅黑" w:eastAsia="微软雅黑"/>
          <w:b w:val="0"/>
          <w:i w:val="0"/>
          <w:color w:val="202833"/>
          <w:sz w:val="22"/>
        </w:rPr>
        <w:t>跨境法律风险：出国劳务与出海用工涉及属地劳动法、签证与税务合规，机构需强化前置风控，求职者须认准正规资质名单。</w:t>
      </w:r>
    </w:p>
    <w:p>
      <w:pPr>
        <w:spacing w:after="40"/>
      </w:pPr>
    </w:p>
    <w:p>
      <w:pPr>
        <w:spacing w:after="0" w:line="312" w:lineRule="auto"/>
        <w:shd w:val="clear" w:fill="D62B1F"/>
      </w:pPr>
      <w:r>
        <w:rPr>
          <w:rFonts w:ascii="微软雅黑" w:hAnsi="微软雅黑" w:eastAsia="微软雅黑"/>
          <w:b/>
          <w:i w:val="0"/>
          <w:color w:val="FFFFFF"/>
          <w:sz w:val="23"/>
        </w:rPr>
        <w:t>一句话判断：</w:t>
      </w:r>
    </w:p>
    <w:p>
      <w:pPr>
        <w:spacing w:after="200" w:line="312" w:lineRule="auto"/>
        <w:shd w:val="clear" w:fill="FDEAEA"/>
      </w:pPr>
      <w:r>
        <w:rPr>
          <w:rFonts w:ascii="微软雅黑" w:hAnsi="微软雅黑" w:eastAsia="微软雅黑"/>
          <w:b/>
          <w:i w:val="0"/>
          <w:color w:val="D62B1F"/>
          <w:sz w:val="23"/>
        </w:rPr>
        <w:t>本周人力资源行业的关键词是“立法补位、政策定调、AI赋能、合规深化”——就业与技能升维提供中长期确定性，新就业形态权益保障立法重塑平台规则，AI赋能地方落地提速。谁能把“合规能力”与“AI能力”沉淀为“产品能力”，谁就握住了下一阶段的胜负手。</w:t>
      </w:r>
    </w:p>
    <w:p>
      <w:pPr>
        <w:spacing w:after="40" w:before="0" w:line="312" w:lineRule="auto"/>
        <w:jc w:val="center"/>
      </w:pPr>
      <w:r>
        <w:rPr>
          <w:rFonts w:ascii="微软雅黑" w:hAnsi="微软雅黑" w:eastAsia="微软雅黑"/>
          <w:b w:val="0"/>
          <w:i w:val="0"/>
          <w:color w:val="5C6B7A"/>
          <w:sz w:val="17"/>
        </w:rPr>
        <w:t>—— 本报告由AI自动抓取生成，数据来源为公开信息，仅供参考，不构成任何投资建议 ——</w:t>
      </w:r>
    </w:p>
    <w:p>
      <w:pPr>
        <w:spacing w:after="120" w:before="0" w:line="312" w:lineRule="auto"/>
        <w:jc w:val="center"/>
      </w:pPr>
      <w:r>
        <w:rPr>
          <w:rFonts w:ascii="微软雅黑" w:hAnsi="微软雅黑" w:eastAsia="微软雅黑"/>
          <w:b w:val="0"/>
          <w:i w:val="0"/>
          <w:color w:val="5C6B7A"/>
          <w:sz w:val="17"/>
        </w:rPr>
        <w:t>生成时间：2026-10-13 07:15</w:t>
      </w:r>
    </w:p>
    <w:sectPr w:rsidR="00FC693F" w:rsidRPr="0006063C" w:rsidSect="00034616">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