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报告周期：2026年10月7日 — 10月14日（滚动一周）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行业由“规章立法＋社保织网＋地方AI竞赛”三线驱动：10月8日人社部等7部门发布《新就业形态劳动者权益保障办法（征求意见稿）》（共54条），首次以部门规章形式将“不完全劳动关系”纳入保障，意见反馈至11月8日；10月10日人社部在国新办“开局起步‘十五五’”发布会披露1—9月全国城镇新增就业1052万人，并锚定2030年技能人才占就业人员比例升至35%；10月13日北京“十五五”社会保障规划出炉，明确扩大新就业形态人员、超龄劳动者保障。地方端，重庆19条AI赋能人力资源服务业（单项最高补助2000万元）、厦门“十五五”人社规划同步加码。在线招聘端，智联招聘10月12日发布三季度快报，养老/看护职位数同比增43.9%居首；BOSS直聘延续股份回购。跨境劳务派出规模延续回升，灵活用工在“权益保障＋税务合规”双收紧下进入强合规纪元。</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人社部等7部门10月8日发布《新就业形态劳动者权益保障办法（征求意见稿）》，共54条，首次以部门规章将“不完全劳动关系”纳入保障，意见反馈至11月8日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人社部10月10日“十五五”发布会：1—9月城镇新增就业1052万人；力争2030年技能人才占就业人员比例升至35%，养老参保率稳定在95%以上</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北京10月13日“十五五”社会保障规划出炉，新就业形态人员、超龄劳动者保障力度提升</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重庆出台19条举措推动人工智能赋能人力资源服务业，单项最高补助2000万元；厦门发布“十五五”人社规划</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智联招聘10月12日三季度快报：养老/看护职位数同比增43.9%居首，数据工程师应届职位增速57.4%居首、AI工程师校招月薪近1.8万元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苏州人才壹号创业投资合伙企业成立，出资额25.01亿元；脑机接口赛道150万年薪抢人，主动医疗、神复健行分获3.3亿/3亿元天使轮</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人社部10月10日“十五五”发布会：1—9月城镇新增就业1052万人</w:t>
      </w:r>
    </w:p>
    <w:p>
      <w:pPr>
        <w:spacing w:after="140" w:before="0" w:line="312" w:lineRule="auto"/>
        <w:ind w:left="113"/>
      </w:pPr>
      <w:r>
        <w:rPr>
          <w:rFonts w:ascii="微软雅黑" w:hAnsi="微软雅黑" w:eastAsia="微软雅黑"/>
          <w:b w:val="0"/>
          <w:i w:val="0"/>
          <w:color w:val="202833"/>
          <w:sz w:val="22"/>
        </w:rPr>
        <w:t>10月10日，国务院新闻办公室举行“开局起步‘十五五’”系列主题新闻发布会，人力资源社会保障部新闻发言人、副部长李忠等介绍“十五五”时期推进就业和社会保障高质量发展有关情况。会上披露，2026年1—9月全国城镇新增就业1052万人，就业形势总体稳定；提出持续推动财政、货币、产业等宏观政策与就业政策协同发力，健全就业影响评估机制（据央广网、内蒙古自治区政府门户网、新京报10月10—12日报道）。</w:t>
      </w:r>
    </w:p>
    <w:p>
      <w:pPr>
        <w:spacing w:after="140" w:before="0" w:line="312" w:lineRule="auto"/>
        <w:ind w:left="113"/>
      </w:pPr>
      <w:r>
        <w:rPr>
          <w:rFonts w:ascii="微软雅黑" w:hAnsi="微软雅黑" w:eastAsia="微软雅黑"/>
          <w:b w:val="0"/>
          <w:i w:val="0"/>
          <w:color w:val="202833"/>
          <w:sz w:val="22"/>
        </w:rPr>
        <w:t>发布会提出，力争“十五五”时期基本养老保险参保率稳定在95%以上，失业保险参保达到2.55亿人，工伤保险参保达到3.45亿人；同时持续规范基本养老保险基金、年金基金投资运营，稳步实现保值增值（据光明网、中证网报道）。参保扩面与基金稳健运营并进，为人力资源服务的公共采购与市场化协同打开空间。</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《新就业形态劳动者权益保障办法（征求意见稿）》发布，54条首纳“不完全劳动关系”</w:t>
      </w:r>
    </w:p>
    <w:p>
      <w:pPr>
        <w:spacing w:after="140" w:before="0" w:line="312" w:lineRule="auto"/>
        <w:ind w:left="113"/>
      </w:pPr>
      <w:r>
        <w:rPr>
          <w:rFonts w:ascii="微软雅黑" w:hAnsi="微软雅黑" w:eastAsia="微软雅黑"/>
          <w:b w:val="0"/>
          <w:i w:val="0"/>
          <w:color w:val="202833"/>
          <w:sz w:val="22"/>
        </w:rPr>
        <w:t>10月8日，人力资源社会保障部会同中央网信办等7部门研究起草的《新就业形态劳动者权益保障办法（征求意见稿）》向社会公开征求意见，反馈截止11月8日。征求意见稿共54条，以部门联合规章形式规定了新就业形态劳动者的范畴、权益维护原则、部门职责分工、基本劳动权益、劳动规则、企业用工形式、纠纷解决等内容（据央广网、中国青年网、中国经济网、光明网10月8—10日报道）。</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是我国首次以部门规章形式，将企业实施劳动管理的“不完全劳动关系”纳入保障范围，被视为新就业形态权益保障由“政策文件”升级为“部门规章”的标志性立法信号，将对企业用工模式、平台责任划分与灵活用工合规成本产生深远影响。</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北京“十五五”社会保障规划出炉，新就业形态人员、超龄劳动者迎利好</w:t>
      </w:r>
    </w:p>
    <w:p>
      <w:pPr>
        <w:spacing w:after="140" w:before="0" w:line="312" w:lineRule="auto"/>
        <w:ind w:left="113"/>
      </w:pPr>
      <w:r>
        <w:rPr>
          <w:rFonts w:ascii="微软雅黑" w:hAnsi="微软雅黑" w:eastAsia="微软雅黑"/>
          <w:b w:val="0"/>
          <w:i w:val="0"/>
          <w:color w:val="202833"/>
          <w:sz w:val="22"/>
        </w:rPr>
        <w:t>10月13日，北京发布“十五五”时期社会保障相关规划。规划聚焦重点群体，针对新就业形态劳动者明确提出提升保障力度，积极落实参保缴费等相关支持政策，将更多灵活就业人员、新就业形态人员纳入保障范围；同时超龄劳动者权益保障成为亮点（据新京报10月13日报道）。</w:t>
      </w:r>
    </w:p>
    <w:p>
      <w:pPr>
        <w:spacing w:after="140" w:before="0" w:line="312" w:lineRule="auto"/>
        <w:ind w:left="113"/>
      </w:pPr>
      <w:r>
        <w:rPr>
          <w:rFonts w:ascii="微软雅黑" w:hAnsi="微软雅黑" w:eastAsia="微软雅黑"/>
          <w:b w:val="0"/>
          <w:i w:val="0"/>
          <w:color w:val="202833"/>
          <w:sz w:val="22"/>
        </w:rPr>
        <w:t>地方社保规划将“扩面提标”落到具体人群，意味着新就业形态人员参保、职业伤害保障等制度红利的落地节奏加快，也为平台企业用工合规改造提供了明确时间表。</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重庆19条AI赋能人力资源服务业（单项最高2000万元），厦门“十五五”人社规划同步加码</w:t>
      </w:r>
    </w:p>
    <w:p>
      <w:pPr>
        <w:spacing w:after="140" w:before="0" w:line="312" w:lineRule="auto"/>
        <w:ind w:left="113"/>
      </w:pPr>
      <w:r>
        <w:rPr>
          <w:rFonts w:ascii="微软雅黑" w:hAnsi="微软雅黑" w:eastAsia="微软雅黑"/>
          <w:b w:val="0"/>
          <w:i w:val="0"/>
          <w:color w:val="202833"/>
          <w:sz w:val="22"/>
        </w:rPr>
        <w:t>据人民网、今日重庆、中国产业经济信息网10月10—12日报道，重庆印发《重庆市推动人工智能赋能人力资源服务业高质量发展若干措施》，共19条举措，围绕人力资源培养、评价、流动、利用、保障与治理五大核心业务，从“数、算、模、用”夯实智能应用底座，对开展AI大模型训练推理、数据标注、数据分析等算力应用给予补贴；支持中试基地申报现代生产性服务业项目，给予不超过2000万元一次性补助。</w:t>
      </w:r>
    </w:p>
    <w:p>
      <w:pPr>
        <w:spacing w:after="140" w:before="0" w:line="312" w:lineRule="auto"/>
        <w:ind w:left="113"/>
      </w:pPr>
      <w:r>
        <w:rPr>
          <w:rFonts w:ascii="微软雅黑" w:hAnsi="微软雅黑" w:eastAsia="微软雅黑"/>
          <w:b w:val="0"/>
          <w:i w:val="0"/>
          <w:color w:val="202833"/>
          <w:sz w:val="22"/>
        </w:rPr>
        <w:t>同期，厦门市人民政府印发《厦门市“十五五”人力资源和社会保障规划》，提出完善人工智能技术辅助功能，实现对用工单位和求职者精准画像，并以厦门为枢纽建设省级就业呼叫中心（据厦门市人民政府网10月10日）。地方以“政策＋算力＋场景”组合拳推动行业智能化升级，为“AI＋人力资源”赛道释放地方采购与共建机会。</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政策端进入“顶层定调＋部门规章＋地方规划”密集落地期：人社部“十五五”发布会明确中长期就业与社保路径，《新就业形态劳动者权益保障办法（征求意见稿）》将权益保障从“政策倡导”升格为“部门规章”，北京、厦门等地“十五五”人社／社保规划相继出炉。“定调＋立法＋规划”三重信号叠加，为行业提供中长期确定性。</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智联招聘：三季度快报显示养老/看护职位数同比增43.9%居首</w:t>
      </w:r>
    </w:p>
    <w:p>
      <w:pPr>
        <w:spacing w:after="140" w:before="0" w:line="312" w:lineRule="auto"/>
        <w:ind w:left="113"/>
      </w:pPr>
      <w:r>
        <w:rPr>
          <w:rFonts w:ascii="微软雅黑" w:hAnsi="微软雅黑" w:eastAsia="微软雅黑"/>
          <w:b w:val="0"/>
          <w:i w:val="0"/>
          <w:color w:val="202833"/>
          <w:sz w:val="22"/>
        </w:rPr>
        <w:t>10月12日，智联招聘发布《2026年三季度人才市场热点快报》。报告显示，三季度招聘市场延续以新质生产力为引领的驱动格局，养老服务成为增速最快行业，养老/看护职位数同比增速达43.9%，位居所有行业第一。从职业看，三季度应届职位数增速领先的职业集中在数据、芯片、AI、医药研发等技术方向：数据工程师以57.4%的应届职位数同比增速位居榜首，AI工程师校招月薪近1.8万元；应届生招聘供需前五行业为软件/IT服务、互联网、集成电路等（据东方财富网、新浪财经、半岛新闻10月12—13日报道）。</w:t>
      </w:r>
    </w:p>
    <w:p>
      <w:pPr>
        <w:spacing w:after="140" w:before="0" w:line="312" w:lineRule="auto"/>
        <w:ind w:left="113"/>
      </w:pPr>
      <w:r>
        <w:rPr>
          <w:rFonts w:ascii="微软雅黑" w:hAnsi="微软雅黑" w:eastAsia="微软雅黑"/>
          <w:b w:val="0"/>
          <w:i w:val="0"/>
          <w:color w:val="202833"/>
          <w:sz w:val="22"/>
        </w:rPr>
        <w:t>以“季度人才市场快报＋垂直产业人才报告”持续输出就业市场观察，已成为智联招聘强化品牌与数据资产的核心打法，也为企业理解结构性就业矛盾提供了量化依据。</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招聘平台合规治理常态化：五部门行政指导持续压实主体责任</w:t>
      </w:r>
    </w:p>
    <w:p>
      <w:pPr>
        <w:spacing w:after="140" w:before="0" w:line="312" w:lineRule="auto"/>
        <w:ind w:left="113"/>
      </w:pPr>
      <w:r>
        <w:rPr>
          <w:rFonts w:ascii="微软雅黑" w:hAnsi="微软雅黑" w:eastAsia="微软雅黑"/>
          <w:b w:val="0"/>
          <w:i w:val="0"/>
          <w:color w:val="202833"/>
          <w:sz w:val="22"/>
        </w:rPr>
        <w:t>在招聘平台合规治理方面，人力资源社会保障部会同中央网信办、工业和信息化部、公安部、金融监管总局等五部门，就规范网络平台招聘类信息发布，对智联招聘、BOSS直聘、58同城、脉脉、抖音、快手、新浪微博、百度贴吧等网络平台开展行政指导，要求平台进一步压实信息内容管理主体责任，做到资质审核到位、信息发布规范（据新浪财经、东方财富网、网易报道）。</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“黑职介”“虚假招聘”治理与信息内容责任加码的背景下，资质审核、信息真实性与算法公平成为招聘平台的合规硬指标；具备强审核能力与数据治理能力的头部平台相对受益，中小平台合规成本上升。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BOSS直聘：财务稳健＋持续回购；云生集团入选浙江人力服务综合100强</w:t>
      </w:r>
    </w:p>
    <w:p>
      <w:pPr>
        <w:spacing w:after="140" w:before="0" w:line="312" w:lineRule="auto"/>
        <w:ind w:left="113"/>
      </w:pPr>
      <w:r>
        <w:rPr>
          <w:rFonts w:ascii="微软雅黑" w:hAnsi="微软雅黑" w:eastAsia="微软雅黑"/>
          <w:b w:val="0"/>
          <w:i w:val="0"/>
          <w:color w:val="202833"/>
          <w:sz w:val="22"/>
        </w:rPr>
        <w:t>据东方财富网、中金在线报道，BOSS直聘-W（02076.HK）延续股份回购节奏，此前披露的2026年第二季度业绩显示公司营收23.99亿元、经营利润8.63亿元，盈利能力持续兑现；持续回购反映管理层对公司长期价值的信心。</w:t>
      </w:r>
    </w:p>
    <w:p>
      <w:pPr>
        <w:spacing w:after="140" w:before="0" w:line="312" w:lineRule="auto"/>
        <w:ind w:left="113"/>
      </w:pPr>
      <w:r>
        <w:rPr>
          <w:rFonts w:ascii="微软雅黑" w:hAnsi="微软雅黑" w:eastAsia="微软雅黑"/>
          <w:b w:val="0"/>
          <w:i w:val="0"/>
          <w:color w:val="202833"/>
          <w:sz w:val="22"/>
        </w:rPr>
        <w:t>行业侧，据新浪财经10月10日报道，云生集团浙江公司荣膺“浙江人力服务综合100强”，并入选国际化相关榜单，其人服综合服务与全球化布局获得地方认可。在招聘由“规模扩张”转向“质量与效率”的阶段，稳健财务表现与综合服务能力正成为平台与机构的共同考题。</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头部平台进入“季度数据发布＋合规治理＋资本运作”多重比拼期。智联招聘以《三季度人才市场热点快报》强化“数据护城河”，BOSS直聘以持续回购兑现资本市场信心；与此同时，五部门对网络平台招聘信息发布的常态化行政指导，使竞争焦点从“渠道流量”进一步转向“技术效率＋数据洞察＋合规能力”。</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地方密集公布对外劳务合作企业名单，强化“认准资质”提醒</w:t>
      </w:r>
    </w:p>
    <w:p>
      <w:pPr>
        <w:spacing w:after="140" w:before="0" w:line="312" w:lineRule="auto"/>
        <w:ind w:left="113"/>
      </w:pPr>
      <w:r>
        <w:rPr>
          <w:rFonts w:ascii="微软雅黑" w:hAnsi="微软雅黑" w:eastAsia="微软雅黑"/>
          <w:b w:val="0"/>
          <w:i w:val="0"/>
          <w:color w:val="202833"/>
          <w:sz w:val="22"/>
        </w:rPr>
        <w:t>9月24日，贵阳市商务局公布经批准的对外劳务合作企业名单，共4家企业具备相关资质，劳务经营范围均不含港澳台地区；名单包括贵州天恩教育集团有限公司等（据同花顺报道）。此前，大连市商务局网站更新对外劳务合作企业名单，共列70家企业，提示市民出国务工认准正规企业；南昌市商务局亦先后公示拟核准金手指人力资源集团有限公司、江西和盾控股有限公司对外劳务合作经营资格。</w:t>
      </w:r>
    </w:p>
    <w:p>
      <w:pPr>
        <w:spacing w:after="140" w:before="0" w:line="312" w:lineRule="auto"/>
        <w:ind w:left="113"/>
      </w:pPr>
      <w:r>
        <w:rPr>
          <w:rFonts w:ascii="微软雅黑" w:hAnsi="微软雅黑" w:eastAsia="微软雅黑"/>
          <w:b w:val="0"/>
          <w:i w:val="0"/>
          <w:color w:val="202833"/>
          <w:sz w:val="22"/>
        </w:rPr>
        <w:t>名单化管理与动态公示并行，反映主管部门在净化市场、防范“黑中介”方面的持续发力，资质合规已成为劳务输出机构的生存底线。</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风险处置与源头整治并举：退还风险处置备用金、发布出国务工风险提示</w:t>
      </w:r>
    </w:p>
    <w:p>
      <w:pPr>
        <w:spacing w:after="140" w:before="0" w:line="312" w:lineRule="auto"/>
        <w:ind w:left="113"/>
      </w:pPr>
      <w:r>
        <w:rPr>
          <w:rFonts w:ascii="微软雅黑" w:hAnsi="微软雅黑" w:eastAsia="微软雅黑"/>
          <w:b w:val="0"/>
          <w:i w:val="0"/>
          <w:color w:val="202833"/>
          <w:sz w:val="22"/>
        </w:rPr>
        <w:t>合规治理的另一面是风险处置：2026年9月，南宁市商务局受理广西中翔信宇建筑工程有限公司关于退还对外劳务合作风险处置备用金的申请，该公司提交原外派人员已全部回国的材料（据南宁市商务局公告9月23日）。四川遂宁市商务局则发布出国务工风险提示，指2026年6月以来接到多起针对某建设安装工程公司的出国劳务服务退费纠纷投诉，涉诉企业未依法依规取得对外劳务合作经营资格。</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风险提示：对劳务输出机构而言，资质合规、合同规范、履约保障已成生存底线；对求职者，认准官方公示名单、警惕“高薪诱饵”“零门槛出国务工”是防骗关键。</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“中企出海”催生跨境用工合规服务新蓝海</w:t>
      </w:r>
    </w:p>
    <w:p>
      <w:pPr>
        <w:spacing w:after="140" w:before="0" w:line="312" w:lineRule="auto"/>
        <w:ind w:left="113"/>
      </w:pPr>
      <w:r>
        <w:rPr>
          <w:rFonts w:ascii="微软雅黑" w:hAnsi="微软雅黑" w:eastAsia="微软雅黑"/>
          <w:b w:val="0"/>
          <w:i w:val="0"/>
          <w:color w:val="202833"/>
          <w:sz w:val="22"/>
        </w:rPr>
        <w:t>由深圳市人力资源服务协会指导，法大大、上海外服、瀛和律所三方专业机构联合出品的《中国企业出海：跨境用工合规白皮书》发布，系统梳理中企出海过程中的跨境用工合规要点，涵盖用工模式、合同签署、数据合规与属地劳动法遵循等（据快资讯报道）。</w:t>
      </w:r>
    </w:p>
    <w:p>
      <w:pPr>
        <w:spacing w:after="140" w:before="0" w:line="312" w:lineRule="auto"/>
        <w:ind w:left="113"/>
      </w:pPr>
      <w:r>
        <w:rPr>
          <w:rFonts w:ascii="微软雅黑" w:hAnsi="微软雅黑" w:eastAsia="微软雅黑"/>
          <w:b w:val="0"/>
          <w:i w:val="0"/>
          <w:color w:val="202833"/>
          <w:sz w:val="22"/>
        </w:rPr>
        <w:t>随着中国企业加速出海，跨境用工的合规需求从“个案咨询”走向“体系化服务”。具备法律、薪酬、人事一体化交付能力的服务商，有望在“出海＋用工”这一新兴赛道上获得增量空间。</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跨境劳务派出规模延续回升，主管部门与地方持续强化“资质名单＋风险处置＋源头整治”的合规导向；同时，“中企出海”催生的跨境用工合规服务成为行业新增长点。行业在“走出去”需求与“防诈骗”治理之间寻求平衡，正规机构与规范化服务仍是主线。</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灵活就业规模超2亿人，权益保障立法与社保扩面同步推进</w:t>
      </w:r>
    </w:p>
    <w:p>
      <w:pPr>
        <w:spacing w:after="140" w:before="0" w:line="312" w:lineRule="auto"/>
        <w:ind w:left="113"/>
      </w:pPr>
      <w:r>
        <w:rPr>
          <w:rFonts w:ascii="微软雅黑" w:hAnsi="微软雅黑" w:eastAsia="微软雅黑"/>
          <w:b w:val="0"/>
          <w:i w:val="0"/>
          <w:color w:val="202833"/>
          <w:sz w:val="22"/>
        </w:rPr>
        <w:t>我国灵活就业人员规模已超过2亿人；有媒体援引数据称，新就业形态劳动者规模约8400万人。10月8日发布的《新就业形态劳动者权益保障办法（征求意见稿）》共54条，明确了基本劳动权益、劳动规则、企业用工形式与纠纷解决机制，并首次将“不完全劳动关系”纳入保障（据央广网、中国经济网、光明网、东南网、河北新闻网10月8—13日报道）。</w:t>
      </w:r>
    </w:p>
    <w:p>
      <w:pPr>
        <w:spacing w:after="140" w:before="0" w:line="312" w:lineRule="auto"/>
        <w:ind w:left="113"/>
      </w:pPr>
      <w:r>
        <w:rPr>
          <w:rFonts w:ascii="微软雅黑" w:hAnsi="微软雅黑" w:eastAsia="微软雅黑"/>
          <w:b w:val="0"/>
          <w:i w:val="0"/>
          <w:color w:val="202833"/>
          <w:sz w:val="22"/>
        </w:rPr>
        <w:t>社保端，中国经济网10月14日刊发《织密灵活就业人员社保网络》，指出不少新就业形态劳动者面临社会保障偏弱、异地参保不便、全额自费压力大等问题，需要制度层面持续破题；职业伤害保障试点累计参保规模持续扩大（据长江商报）。</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益保障立法＋参保扩面并进，意味着灵活用工平台的“合规成本”将成为商业模式设计的核心变量，具备真实用工场景与数字化交付能力的平台将获得相对优势。</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地方密集出台新就业形态权益保障措施，保障网越织越密</w:t>
      </w:r>
    </w:p>
    <w:p>
      <w:pPr>
        <w:spacing w:after="140" w:before="0" w:line="312" w:lineRule="auto"/>
        <w:ind w:left="113"/>
      </w:pPr>
      <w:r>
        <w:rPr>
          <w:rFonts w:ascii="微软雅黑" w:hAnsi="微软雅黑" w:eastAsia="微软雅黑"/>
          <w:b w:val="0"/>
          <w:i w:val="0"/>
          <w:color w:val="202833"/>
          <w:sz w:val="22"/>
        </w:rPr>
        <w:t>地方层面，江苏淮安出台《加强新就业形态劳动者权益保障的七条措施》，聚焦网约配送员、快递员、网约客货车司机、网络主播等群体合法权益；重庆北碚区精准施策，约谈用工纠纷多发的平台企业，向辖区平台企业和合作企业下发新就业形态相关要求，畅通劳动者维权渠道（据淮安市人民政府网、北碚区人民政府网）。</w:t>
      </w:r>
    </w:p>
    <w:p>
      <w:pPr>
        <w:spacing w:after="140" w:before="0" w:line="312" w:lineRule="auto"/>
        <w:ind w:left="113"/>
      </w:pPr>
      <w:r>
        <w:rPr>
          <w:rFonts w:ascii="微软雅黑" w:hAnsi="微软雅黑" w:eastAsia="微软雅黑"/>
          <w:b w:val="0"/>
          <w:i w:val="0"/>
          <w:color w:val="202833"/>
          <w:sz w:val="22"/>
        </w:rPr>
        <w:t>从全国规章到地方措施，新就业形态权益保障形成“国家立法＋地方细则”的纵向体系。对平台和用工企业而言，合规不再是“可选项”，而是进入门槛。</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金税四期下灵活用工迈入“强合规纪元”</w:t>
      </w:r>
    </w:p>
    <w:p>
      <w:pPr>
        <w:spacing w:after="140" w:before="0" w:line="312" w:lineRule="auto"/>
        <w:ind w:left="113"/>
      </w:pPr>
      <w:r>
        <w:rPr>
          <w:rFonts w:ascii="微软雅黑" w:hAnsi="微软雅黑" w:eastAsia="微软雅黑"/>
          <w:b w:val="0"/>
          <w:i w:val="0"/>
          <w:color w:val="202833"/>
          <w:sz w:val="22"/>
        </w:rPr>
        <w:t>随着金税四期全面深化，中国灵活用工行业告别“野蛮生长”，进入“以数治税”的强合规阶段。行业分析指出，灵活用工平台的风险集中体现在资金回流与虚开发票两个方面：部分平台通过虚构业务、私人账户结算掩盖真实交易，易被认定为虚开发票（据快资讯、网易等行业报道）。</w:t>
      </w:r>
    </w:p>
    <w:p>
      <w:pPr>
        <w:spacing w:after="140" w:before="0" w:line="312" w:lineRule="auto"/>
        <w:ind w:left="113"/>
      </w:pPr>
      <w:r>
        <w:rPr>
          <w:rFonts w:ascii="微软雅黑" w:hAnsi="微软雅黑" w:eastAsia="微软雅黑"/>
          <w:b w:val="0"/>
          <w:i w:val="0"/>
          <w:color w:val="202833"/>
          <w:sz w:val="22"/>
        </w:rPr>
        <w:t>“四流合一”（业务流、资金流、合同流、发票流完全匹配）成为硬指标，监管思路转向以实际业务角色而非合同名称定性。平台资质、风控能力、服务覆盖与技术实力，正取代单纯的价格竞争，成为企业选型的核心标准，“合规＋技术”双轮驱动成为行业公认主线。</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板块最强变量来自“权益保障立法”与“税务合规红线”的双重收紧。《新就业形态劳动者权益保障办法（征求意见稿）》将“不完全劳动关系”纳入保障，叠加灵活就业人员社保扩面行动与地方措施密集出台，行业正从“规模扩张”转向“合规经营＋技术提效”。</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国资加码人才创投：苏州人才壹号创业投资合伙企业成立，出资额25.01亿元</w:t>
      </w:r>
    </w:p>
    <w:p>
      <w:pPr>
        <w:spacing w:after="140" w:before="0" w:line="312" w:lineRule="auto"/>
        <w:ind w:left="113"/>
      </w:pPr>
      <w:r>
        <w:rPr>
          <w:rFonts w:ascii="微软雅黑" w:hAnsi="微软雅黑" w:eastAsia="微软雅黑"/>
          <w:b w:val="0"/>
          <w:i w:val="0"/>
          <w:color w:val="202833"/>
          <w:sz w:val="22"/>
        </w:rPr>
        <w:t>企查查APP显示，苏州人才壹号创业投资合伙企业（有限合伙）成立，出资额25.01亿元人民币，经营范围为股权投资、创业投资。股权穿透显示，该企业由地方国资背景主体参与设立（据企查查信息）。</w:t>
      </w:r>
    </w:p>
    <w:p>
      <w:pPr>
        <w:spacing w:after="140" w:before="0" w:line="312" w:lineRule="auto"/>
        <w:ind w:left="113"/>
      </w:pPr>
      <w:r>
        <w:rPr>
          <w:rFonts w:ascii="微软雅黑" w:hAnsi="微软雅黑" w:eastAsia="微软雅黑"/>
          <w:b w:val="0"/>
          <w:i w:val="0"/>
          <w:color w:val="202833"/>
          <w:sz w:val="22"/>
        </w:rPr>
        <w:t>以“人才＋创投”为抓手，地方政府正通过设立人才主题基金，把人才引进、产业培育与资本运作绑定，既为人才创业提供资本支持，也为人服机构参与区域人才生态建设打开合作窗口。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硬科技抢人大战：脑机接口赛道150万年薪，单笔天使轮最高3.3亿元</w:t>
      </w:r>
    </w:p>
    <w:p>
      <w:pPr>
        <w:spacing w:after="140" w:before="0" w:line="312" w:lineRule="auto"/>
        <w:ind w:left="113"/>
      </w:pPr>
      <w:r>
        <w:rPr>
          <w:rFonts w:ascii="微软雅黑" w:hAnsi="微软雅黑" w:eastAsia="微软雅黑"/>
          <w:b w:val="0"/>
          <w:i w:val="0"/>
          <w:color w:val="202833"/>
          <w:sz w:val="22"/>
        </w:rPr>
        <w:t>据新浪财经10月12日报道，脑机接口等硬科技赛道打响“人才争夺战”，部分岗位开出150万元年薪抢人。资本端同步加码：主动医疗完成3.3亿元天使轮融资，将团队扩充与临床试验、硬件配套建设并列作为资金主要投向；神复健行完成3亿元天使轮系列融资，用于推进临床试验与全球化布局。</w:t>
      </w:r>
    </w:p>
    <w:p>
      <w:pPr>
        <w:spacing w:after="140" w:before="0" w:line="312" w:lineRule="auto"/>
        <w:ind w:left="113"/>
      </w:pPr>
      <w:r>
        <w:rPr>
          <w:rFonts w:ascii="微软雅黑" w:hAnsi="微软雅黑" w:eastAsia="微软雅黑"/>
          <w:b w:val="0"/>
          <w:i w:val="0"/>
          <w:color w:val="202833"/>
          <w:sz w:val="22"/>
        </w:rPr>
        <w:t>硬科技赛道“高薪抢人＋大额早期融资”并行，反映一级市场对稀缺技术人才的定价抬升，也带动高端人才寻访、股权激励设计、全球化用工等高附加值人服需求增长。</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产业金融平台公开招聘，人力资源服务与资本深度融合</w:t>
      </w:r>
    </w:p>
    <w:p>
      <w:pPr>
        <w:spacing w:after="140" w:before="0" w:line="312" w:lineRule="auto"/>
        <w:ind w:left="113"/>
      </w:pPr>
      <w:r>
        <w:rPr>
          <w:rFonts w:ascii="微软雅黑" w:hAnsi="微软雅黑" w:eastAsia="微软雅黑"/>
          <w:b w:val="0"/>
          <w:i w:val="0"/>
          <w:color w:val="202833"/>
          <w:sz w:val="22"/>
        </w:rPr>
        <w:t>湖北长江产融资本投资有限公司发布公开招聘公告，作为落实投融资体制改革、做优做强产业金融平台的关键载体，秉持“金融向实、产融向新”导向（据网易报道）。此外，大模型应用初创公司灵快科技完成数百万元天使轮融资，资金主要用于产品研发、市场拓展以及团队招聘（据快资讯报道）。</w:t>
      </w:r>
    </w:p>
    <w:p>
      <w:pPr>
        <w:spacing w:after="140" w:before="0" w:line="312" w:lineRule="auto"/>
        <w:ind w:left="113"/>
      </w:pPr>
      <w:r>
        <w:rPr>
          <w:rFonts w:ascii="微软雅黑" w:hAnsi="微软雅黑" w:eastAsia="微软雅黑"/>
          <w:b w:val="0"/>
          <w:i w:val="0"/>
          <w:color w:val="202833"/>
          <w:sz w:val="22"/>
        </w:rPr>
        <w:t>从“投资机构招人”到“创业公司拿钱招人”，人力资源服务与资本市场的深度融合正形成闭环；具备高端寻访、薪酬数据与组织咨询能力的人服机构，将在资本驱动的招聘周期中获得结构性机会。</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人力资源及相关人才赛道投融资呈现“AI＋人才、出海＋用工、国资＋人才集团”三条支线。一级市场对“人才密度”和“AI原生”的偏好明显，地方政府“以投引才、以赛促创”的抓手持续加码，创业与投资热点向垂直化、国际化迁移。</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事件一：《新就业形态劳动者权益保障办法（征求意见稿）》首纳“不完全劳动关系”</w:t>
      </w:r>
    </w:p>
    <w:p>
      <w:pPr>
        <w:spacing w:after="140" w:before="0" w:line="312" w:lineRule="auto"/>
        <w:ind w:left="113"/>
      </w:pPr>
      <w:r>
        <w:rPr>
          <w:rFonts w:ascii="微软雅黑" w:hAnsi="微软雅黑" w:eastAsia="微软雅黑"/>
          <w:b w:val="0"/>
          <w:i w:val="0"/>
          <w:color w:val="202833"/>
          <w:sz w:val="22"/>
        </w:rPr>
        <w:t>10月8日，人社部等7部门发布《新就业形态劳动者权益保障办法（征求意见稿）》，共54条，首次以部门规章形式将企业实施劳动管理的“不完全劳动关系”纳入保障，意见反馈至11月8日。</w:t>
      </w:r>
    </w:p>
    <w:p>
      <w:pPr>
        <w:spacing w:after="140" w:before="0" w:line="312" w:lineRule="auto"/>
        <w:ind w:left="113"/>
      </w:pPr>
      <w:r>
        <w:rPr>
          <w:rFonts w:ascii="微软雅黑" w:hAnsi="微软雅黑" w:eastAsia="微软雅黑"/>
          <w:b w:val="0"/>
          <w:i w:val="0"/>
          <w:color w:val="202833"/>
          <w:sz w:val="22"/>
        </w:rPr>
        <w:t>解读：其一，制度层级跃升——从“指导意见”到“部门规章”，约束力与可执行性显著增强；其二，用工身份界定清晰化——“根据用工实际性质分类施策”意味着以合同名称规避责任的空间被压缩；其三，合规成本前移——平台与用工企业的劳动规则、报酬支付、纠纷解决将面临更高的合规建设要求。对灵活用工平台而言，具备真实业务场景与“四流合一”能力的合规平台将获得相对优势，而依赖“形式外包、实质用工”的模式面临系统性重构。</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事件二：地方AI竞赛提速，人力资源服务业智能化底座加速成型</w:t>
      </w:r>
    </w:p>
    <w:p>
      <w:pPr>
        <w:spacing w:after="140" w:before="0" w:line="312" w:lineRule="auto"/>
        <w:ind w:left="113"/>
      </w:pPr>
      <w:r>
        <w:rPr>
          <w:rFonts w:ascii="微软雅黑" w:hAnsi="微软雅黑" w:eastAsia="微软雅黑"/>
          <w:b w:val="0"/>
          <w:i w:val="0"/>
          <w:color w:val="202833"/>
          <w:sz w:val="22"/>
        </w:rPr>
        <w:t>重庆出台19条举措推动人工智能赋能人力资源服务业，围绕“数、算、模、用”夯实智能应用底座，单项最高补助2000万元；厦门“十五五”人社规划提出AI辅助精准画像、建设省级就业呼叫中心；上海徐汇作为AI核心承载区，集聚AI企业超2000家、大模型企业超1000家，为“AI＋HR”融合奠定基础。</w:t>
      </w:r>
    </w:p>
    <w:p>
      <w:pPr>
        <w:spacing w:after="140" w:before="0" w:line="312" w:lineRule="auto"/>
        <w:ind w:left="113"/>
      </w:pPr>
      <w:r>
        <w:rPr>
          <w:rFonts w:ascii="微软雅黑" w:hAnsi="微软雅黑" w:eastAsia="微软雅黑"/>
          <w:b w:val="0"/>
          <w:i w:val="0"/>
          <w:color w:val="202833"/>
          <w:sz w:val="22"/>
        </w:rPr>
        <w:t>解读：人力资源服务业正从“人力密集”走向“算力密集”。政策端以补贴降低机构算力成本，场景端以政府公共服务（精准画像、就业呼叫中心）打开落地入口。对HR科技企业而言，“AI原生”能力与地方场景资源的结合度，将决定其在地方采购与共建中的份额。</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本周期最值得深读的两条主线：一是新就业形态“权益保障”由政策倡导升格为部门规章；二是地方以“政策＋算力”抢占“AI＋人力资源”制高点。前者重塑用工合规边界，后者重构行业技术底座。</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趋势研判：立法保障＋AI赋能＋全球用工三大主线</w:t>
      </w:r>
    </w:p>
    <w:p>
      <w:pPr>
        <w:spacing w:after="140" w:before="0" w:line="312" w:lineRule="auto"/>
        <w:ind w:left="113"/>
      </w:pPr>
      <w:r>
        <w:rPr>
          <w:rFonts w:ascii="微软雅黑" w:hAnsi="微软雅黑" w:eastAsia="微软雅黑"/>
          <w:b w:val="0"/>
          <w:i w:val="0"/>
          <w:color w:val="202833"/>
          <w:sz w:val="22"/>
        </w:rPr>
        <w:t>一是“保障立法化”：以《新就业形态劳动者权益保障办法》为标志，新就业形态权益保障从政策倡导走向部门规章，叠加北京“十五五”社保规划与地方措施，合规成为行业底层规则；二是“服务智能化”：重庆、厦门、上海等地以“政策＋算力＋场景”推动AI赋能人力资源服务业，AI＋招聘、AI＋HR SaaS进入规模化落地；三是“用工全球化”：跨境劳务派出回升，中企出海催生跨境用工合规服务需求，具备法律、薪酬、人事一体化能力的服务商迎来结构性机会。</w:t>
      </w:r>
    </w:p>
    <w:p>
      <w:pPr>
        <w:spacing w:after="140" w:before="0" w:line="312" w:lineRule="auto"/>
        <w:ind w:left="113"/>
      </w:pPr>
      <w:r>
        <w:rPr>
          <w:rFonts w:ascii="微软雅黑" w:hAnsi="微软雅黑" w:eastAsia="微软雅黑"/>
          <w:b w:val="0"/>
          <w:i w:val="0"/>
          <w:color w:val="202833"/>
          <w:sz w:val="22"/>
        </w:rPr>
        <w:t>结构性机会主要集中在：合规能力强的灵活用工平台、数据能力强的招聘平台、以及具备出海与AI一体化交付能力的人服机构。</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风险提示：数据合规、权益保障与税务合规三重约束</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一是招聘数据隐私与算法公平风险：招聘平台信息内容治理常态化，资质审核、数据合规与算法公平成为硬约束；二是灵活用工劳动者权益保障风险：权益保障规章落地后，“不完全劳动关系”认定、劳动规则与纠纷解决将带来合规成本上升；三是灵活用工税务合规风险：金税四期下，“四流合一”与业务实质定性趋严，虚开发票、资金回流等违规空间被持续压缩；四是跨境劳务法律风险：出国务工须认准持牌机构，无资质代办、退费纠纷与“高薪陷阱”仍需高度警惕。</w:t>
      </w:r>
    </w:p>
    <w:p>
      <w:pPr>
        <w:spacing w:after="140" w:before="0" w:line="312" w:lineRule="auto"/>
        <w:ind w:left="113"/>
      </w:pPr>
      <w:r>
        <w:rPr>
          <w:rFonts w:ascii="微软雅黑" w:hAnsi="微软雅黑" w:eastAsia="微软雅黑"/>
          <w:b w:val="0"/>
          <w:i w:val="0"/>
          <w:color w:val="202833"/>
          <w:sz w:val="22"/>
        </w:rPr>
        <w:t>相关企业与投资机构宜提前做好合规研判与制度对接，将合规能力转化为竞争壁垒。</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综合本周政策、平台与资本信号，人力资源行业正沿着“保障立法化、服务智能化、用工全球化”三大主线加速演进。</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人力资源行业正从“规模红利”转向“合规红利＋技术红利”：谁先把权益保障、税务合规与数据安全做成能力，谁就更有机会在智能化、全球化两条主线上抢得先机。</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生成时间：2026-10-14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