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w:t>
      </w:r>
    </w:p>
    <w:p>
      <w:pPr>
        <w:spacing w:after="200" w:before="0" w:line="312" w:lineRule="auto"/>
        <w:jc w:val="center"/>
      </w:pPr>
      <w:r>
        <w:rPr>
          <w:rFonts w:ascii="微软雅黑" w:hAnsi="微软雅黑" w:eastAsia="微软雅黑"/>
          <w:b w:val="0"/>
          <w:i w:val="0"/>
          <w:color w:val="5C6B7A"/>
          <w:sz w:val="21"/>
        </w:rPr>
        <w:t>报告周期：2026年10月8日 — 10月15日（滚动一周）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本周行业围绕“十五五”规划落地全面提速：10月10日人社部在国新办“开局起步‘十五五’”发布会披露1—9月城镇新增就业1052万人（完成全年目标87.7%），并明确“2个计划、5项行动、4方面制度机制”施工图；10月8日《新就业形态劳动者权益保障办法（征求意见稿）》公开征求意见（至11月8日），首次以部门规章形式将“不完全劳动关系”纳入保障，覆盖8400万新就业形态劳动者。政策端“就业优先+权益保障+投资于人”三条主线清晰，行业进入合规化、技能化、数字化并行的新周期。</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人社部“十五五”发布会：1—9月城镇新增就业1052万人，三项社保基金累计结余11.2万亿元</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《新就业形态劳动者权益保障办法（征求意见稿）》发布，8400万新就业形态劳动者迎制度性保障</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智联招聘三季度快报：养老看护职位数同比增43.9%居首，服务消费行业招聘增速领跑</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BOSS直聘半年报归母净利润31.02亿元、同比增150.8%，大手笔派息回购回馈股东</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对外劳务合作1—8月派出劳务人员31.5万人，同比增加4.4万人，跨境用工回暖</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灵活用工合规洗牌：北京人力主动收缩规模，头部企业走出差异化路径</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人社部“十五五”发布会：1—9月城镇新增就业1052万人，就业形势总体稳定</w:t>
      </w:r>
    </w:p>
    <w:p>
      <w:pPr>
        <w:spacing w:after="140" w:before="0" w:line="312" w:lineRule="auto"/>
        <w:ind w:left="113"/>
      </w:pPr>
      <w:r>
        <w:rPr>
          <w:rFonts w:ascii="微软雅黑" w:hAnsi="微软雅黑" w:eastAsia="微软雅黑"/>
          <w:b w:val="0"/>
          <w:i w:val="0"/>
          <w:color w:val="202833"/>
          <w:sz w:val="22"/>
        </w:rPr>
        <w:t>10月10日上午，国务院新闻办公室举行“开局起步‘十五五’”系列主题新闻发布会，人力资源社会保障部新闻发言人、副部长李忠介绍“十五五”时期推进就业和社会保障高质量发展有关情况。发布会披露：今年1至9月，全国城镇新增就业1052万人，完成全年目标任务的87.7%，前8个月城镇调查失业率均值为5.2%，就业形势总体稳定。</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十四五”时期，我国城镇新增就业累计超过6200万人，调查失业率均值为5.2%；基本养老保险参保率提高到95%以上；养老、失业、工伤三项社会保险基金收支总规模突破75万亿元；专业技术人才超过8000万人，技能劳动者总量超过2.2亿人、其中高技能人才超过7200万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“十五五”施工图明确：“2个计划、5项行动、4方面制度机制”</w:t>
      </w:r>
    </w:p>
    <w:p>
      <w:pPr>
        <w:spacing w:after="140" w:before="0" w:line="312" w:lineRule="auto"/>
        <w:ind w:left="113"/>
      </w:pPr>
      <w:r>
        <w:rPr>
          <w:rFonts w:ascii="微软雅黑" w:hAnsi="微软雅黑" w:eastAsia="微软雅黑"/>
          <w:b w:val="0"/>
          <w:i w:val="0"/>
          <w:color w:val="202833"/>
          <w:sz w:val="22"/>
        </w:rPr>
        <w:t>发布会明确“十五五”时期促进高质量充分就业的路线图：实施“2个计划”，即高校毕业生等青年就业支持计划、灵活就业和新就业形态劳动者就业质量提升计划；开展“5项行动”，包括适应人工智能发展促就业行动、“技能照亮前程”培训行动、农民工就业促进行动、高品质就业公共服务供给行动以及“人力资源服务+”融合发展行动。</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全“4个方面制度机制”：制定出台新就业形态劳动者权益保障办法、健全最低工资标准调整机制、构建技能导向的薪酬分配制度、完善治理欠薪长效机制。人社部还将会同有关部门研究出台服务业发展促就业文件，更好发挥服务业吸纳就业的主渠道作用。</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投资于人再加码：力争“十五五”培训5000万人次、新增技能证书4000万人次</w:t>
      </w:r>
    </w:p>
    <w:p>
      <w:pPr>
        <w:spacing w:after="140" w:before="0" w:line="312" w:lineRule="auto"/>
        <w:ind w:left="113"/>
      </w:pPr>
      <w:r>
        <w:rPr>
          <w:rFonts w:ascii="微软雅黑" w:hAnsi="微软雅黑" w:eastAsia="微软雅黑"/>
          <w:b w:val="0"/>
          <w:i w:val="0"/>
          <w:color w:val="202833"/>
          <w:sz w:val="22"/>
        </w:rPr>
        <w:t>人社部提出，力争“十五五”时期开展补贴性职业技能培训5000万人次，新增取得技能证书4000万人次、其中取得高级工以上技能证书1400万人次；深入实施专业技术人才知识更新工程，每年培养培训100万名高层次、急需紧缺和骨干专业技术人才。</w:t>
      </w:r>
    </w:p>
    <w:p>
      <w:pPr>
        <w:spacing w:after="140" w:before="0" w:line="312" w:lineRule="auto"/>
        <w:ind w:left="113"/>
      </w:pPr>
      <w:r>
        <w:rPr>
          <w:rFonts w:ascii="微软雅黑" w:hAnsi="微软雅黑" w:eastAsia="微软雅黑"/>
          <w:b w:val="0"/>
          <w:i w:val="0"/>
          <w:color w:val="202833"/>
          <w:sz w:val="22"/>
        </w:rPr>
        <w:t>截至9月底，全国基本养老保险、失业保险、工伤保险（含职业伤害保障）参保人数分别达到10.79亿人、2.51亿人、3.27亿人，参保规模位居全球首位，三项社会保险基金累计结余11.2万亿元。此外，我国在上海成功举办第48届世界技能大赛，中国代表团获得41金、11银、4铜和6个优胜奖，连续五届位列金牌榜和团体总分世界第一。</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4. 《新就业形态劳动者权益保障办法（征求意见稿）》发布，覆盖8400万劳动者</w:t>
      </w:r>
    </w:p>
    <w:p>
      <w:pPr>
        <w:spacing w:after="140" w:before="0" w:line="312" w:lineRule="auto"/>
        <w:ind w:left="113"/>
      </w:pPr>
      <w:r>
        <w:rPr>
          <w:rFonts w:ascii="微软雅黑" w:hAnsi="微软雅黑" w:eastAsia="微软雅黑"/>
          <w:b w:val="0"/>
          <w:i w:val="0"/>
          <w:color w:val="202833"/>
          <w:sz w:val="22"/>
        </w:rPr>
        <w:t>10月8日，人力资源社会保障部发布《新就业形态劳动者权益保障办法（征求意见稿）》，从即日起至11月8日向社会公开征求意见。征求意见稿首次以部门规章形式，将企业实施劳动管理、不完全符合确立劳动关系情形的新就业形态劳动者纳入劳动法律制度保障，覆盖网约配送员、网约车司机、网约货运司机、网络主播等主要群体。</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求意见稿实施分类保障、规范平台劳动规则与算法、压实平台责任，建立“用工责任穿透机制”，对规避用工责任问题作出禁止性规定。中华全国总工会数据显示，我国新就业形态劳动者已达8400万人。</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政策端“就业优先、权益保障、投资于人”三条主线同步强化，行业进入制度红利释放期，“人力资源服务+”融合与AI促就业成为新增长点。</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智联招聘：三季度人才市场快报显示养老看护职位数同比增43.9%</w:t>
      </w:r>
    </w:p>
    <w:p>
      <w:pPr>
        <w:spacing w:after="140" w:before="0" w:line="312" w:lineRule="auto"/>
        <w:ind w:left="113"/>
      </w:pPr>
      <w:r>
        <w:rPr>
          <w:rFonts w:ascii="微软雅黑" w:hAnsi="微软雅黑" w:eastAsia="微软雅黑"/>
          <w:b w:val="0"/>
          <w:i w:val="0"/>
          <w:color w:val="202833"/>
          <w:sz w:val="22"/>
        </w:rPr>
        <w:t>智联招聘发布三季度人才市场快报。数据显示，养老看护相关职位数同比大幅增长43.9%，位居各细分领域前列；交通、物流、餐饮、旅游等服务消费行业招聘增速领跑，成为吸纳就业的重要引擎。报告同时指出，职场人对AI的态度趋于理性，过度恐惧或过度乐观的情绪均在减少，AI技能正从“加分项”转变为部分岗位的“必备项”。</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BOSS直聘：半年报归母净利润31.02亿元，同比大增150.8%</w:t>
      </w:r>
    </w:p>
    <w:p>
      <w:pPr>
        <w:spacing w:after="140" w:before="0" w:line="312" w:lineRule="auto"/>
        <w:ind w:left="113"/>
      </w:pPr>
      <w:r>
        <w:rPr>
          <w:rFonts w:ascii="微软雅黑" w:hAnsi="微软雅黑" w:eastAsia="微软雅黑"/>
          <w:b w:val="0"/>
          <w:i w:val="0"/>
          <w:color w:val="202833"/>
          <w:sz w:val="22"/>
        </w:rPr>
        <w:t>BOSS直聘2026财年半年报显示，归母净利润达31.02亿元，同比增长150.8%；其中第二季度实现营收23.99亿元、经营利润8.63亿元。公司同时宣布斥资2.3亿美元进行派息，本次派息完成后，年内通过派息和回购进行的股东回报总金额已超过上年经调整后净利润的100%，展现出稳健的现金流与股东回报能力。</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招聘需求结构性分化、平台竞争加剧的背景下，头部平台凭借AI智能匹配、“直聊”沟通效率与中小企业客户拓展，持续巩固商业化基本盘。</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招聘平台合规治理常态化，主体责任持续压实</w:t>
      </w:r>
    </w:p>
    <w:p>
      <w:pPr>
        <w:spacing w:after="140" w:before="0" w:line="312" w:lineRule="auto"/>
        <w:ind w:left="113"/>
      </w:pPr>
      <w:r>
        <w:rPr>
          <w:rFonts w:ascii="微软雅黑" w:hAnsi="微软雅黑" w:eastAsia="微软雅黑"/>
          <w:b w:val="0"/>
          <w:i w:val="0"/>
          <w:color w:val="202833"/>
          <w:sz w:val="22"/>
        </w:rPr>
        <w:t>各地人社、网信、市场监管等部门持续对招聘平台开展行政指导与合规治理，聚焦虚假招聘、就业歧视、个人信息保护等突出问题，推动平台压实信息审核与主体责任。合规能力正成为招聘平台的核心竞争力之一，倒逼行业从“流量扩张”转向“质量与合规并重”的发展模式。</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招聘市场呈现“总量稳定、结构分化”特征：服务消费与养老看护等民生岗位需求旺盛，AI相关技能需求上升；头部平台盈利改善，合规治理常态化。</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对外劳务合作回暖：1—8月派出劳务人员31.5万人，同比增加4.4万人</w:t>
      </w:r>
    </w:p>
    <w:p>
      <w:pPr>
        <w:spacing w:after="140" w:before="0" w:line="312" w:lineRule="auto"/>
        <w:ind w:left="113"/>
      </w:pPr>
      <w:r>
        <w:rPr>
          <w:rFonts w:ascii="微软雅黑" w:hAnsi="微软雅黑" w:eastAsia="微软雅黑"/>
          <w:b w:val="0"/>
          <w:i w:val="0"/>
          <w:color w:val="202833"/>
          <w:sz w:val="22"/>
        </w:rPr>
        <w:t>据商务主管部门统计，2026年1—8月，我国企业共向境外派出各类劳务人员31.5万人，较上年同期增加4.4万人。其中，承包工程项下派出9.2万人，劳务合作项下派出22.3万人。此前公布的1—7月数据显示派出27.4万人、同比增加4.3万人，1—8月延续稳步回升态势，反映海外用工需求持续回暖。</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劳务结构看，劳务合作项下输出占比持续高于承包工程项下，跨境用工需求向制造业、建筑业、服务业等多元领域扩散。</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地方密集公布对外劳务合作企业名单，强化“认准资质”提醒</w:t>
      </w:r>
    </w:p>
    <w:p>
      <w:pPr>
        <w:spacing w:after="140" w:before="0" w:line="312" w:lineRule="auto"/>
        <w:ind w:left="113"/>
      </w:pPr>
      <w:r>
        <w:rPr>
          <w:rFonts w:ascii="微软雅黑" w:hAnsi="微软雅黑" w:eastAsia="微软雅黑"/>
          <w:b w:val="0"/>
          <w:i w:val="0"/>
          <w:color w:val="202833"/>
          <w:sz w:val="22"/>
        </w:rPr>
        <w:t>近期多地商务部门陆续公布经批准的对外劳务合作企业名单，提醒出国务工人员务必选择具备《对外劳务合作经营资格证书》的正规机构。例如贵阳市商务局公布4家具备资质的企业，并明确劳务经营范围不含港澳台地区。与此同时，相关部门发布出国务工风险提示，对未依法取得资格证书、涉嫌劳务纠纷的公司进行公示，从源头保护劳务人员合法权益。</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出国务工需警惕“高薪低门槛”陷阱，务必核验企业资质、签订正规合同并留存凭证，避免落入非法劳务中介陷阱。</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“中企出海”催生跨境用工合规服务新蓝海</w:t>
      </w:r>
    </w:p>
    <w:p>
      <w:pPr>
        <w:spacing w:after="140" w:before="0" w:line="312" w:lineRule="auto"/>
        <w:ind w:left="113"/>
      </w:pPr>
      <w:r>
        <w:rPr>
          <w:rFonts w:ascii="微软雅黑" w:hAnsi="微软雅黑" w:eastAsia="微软雅黑"/>
          <w:b w:val="0"/>
          <w:i w:val="0"/>
          <w:color w:val="202833"/>
          <w:sz w:val="22"/>
        </w:rPr>
        <w:t>随着企业“走出去”步伐加快，海外雇佣合同、属地劳动法合规、外派员工薪酬社保等问题日益突出。业内指出，2026年的海外用工已告别“模板套用”时代，合规签约成为规避劳动争议、行政处罚乃至业务中断的前提。跨境用工合规咨询、全球薪酬（Global Payroll）、名义雇主（EOR）等服务需求快速增长，成为人力资源服务机构的重点布局方向。</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出国劳务总量稳步回升，结构持续优化；行业“合规化、专业化”趋势明显，具备资质与跨境服务能力的中介机构将率先受益，跨境用工合规服务成为新蓝海。</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灵活就业规模超2亿，权益保障立法与社保扩面同步推进</w:t>
      </w:r>
    </w:p>
    <w:p>
      <w:pPr>
        <w:spacing w:after="140" w:before="0" w:line="312" w:lineRule="auto"/>
        <w:ind w:left="113"/>
      </w:pPr>
      <w:r>
        <w:rPr>
          <w:rFonts w:ascii="微软雅黑" w:hAnsi="微软雅黑" w:eastAsia="微软雅黑"/>
          <w:b w:val="0"/>
          <w:i w:val="0"/>
          <w:color w:val="202833"/>
          <w:sz w:val="22"/>
        </w:rPr>
        <w:t>我国灵活就业人员规模已超过2亿人，新就业形态劳动者达8400万人。《新就业形态劳动者权益保障办法（征求意见稿）》的出台与“灵活就业和新就业形态劳动者就业质量提升计划”的部署，标志着灵活用工从“规模扩张”迈入“权益保障与规范发展”并重阶段。</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保端持续扩面：国家鼓励支持灵活就业人员、新就业形态人员参加职工养老保险，2026年多项灵活就业社保新规落地，取消参保户籍限制、凭身份证即可在就业地参保，就业困难人员社保补贴最高可达缴费额的三分之二。</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合规洗牌加速：北京人力主动收缩灵活用工规模</w:t>
      </w:r>
    </w:p>
    <w:p>
      <w:pPr>
        <w:spacing w:after="140" w:before="0" w:line="312" w:lineRule="auto"/>
        <w:ind w:left="113"/>
      </w:pPr>
      <w:r>
        <w:rPr>
          <w:rFonts w:ascii="微软雅黑" w:hAnsi="微软雅黑" w:eastAsia="微软雅黑"/>
          <w:b w:val="0"/>
          <w:i w:val="0"/>
          <w:color w:val="202833"/>
          <w:sz w:val="22"/>
        </w:rPr>
        <w:t>2026年上半年，在市场用工需求波动、灵活用工监管持续收紧的大环境下，头部人力资源服务企业走出截然不同的路径。北京人力主动收缩灵活用工规模、以业务结构优化应对外部变化；外服控股等企业则在不同赛道上调整布局。业内普遍认为，金税四期与社保入税背景下，灵活用工正迈入“强合规纪元”，倒逼平台从粗放的“税务筹划”转向以真实用工为核心的合规服务。</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企业在选择灵活用工平台时应重点核查其业务真实性、税务合规性与资金安全，警惕以“灵活用工”之名行虚开发票之实的违规模式。</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政策持续织密保障网，平台用工规范化提速</w:t>
      </w:r>
    </w:p>
    <w:p>
      <w:pPr>
        <w:spacing w:after="140" w:before="0" w:line="312" w:lineRule="auto"/>
        <w:ind w:left="113"/>
      </w:pPr>
      <w:r>
        <w:rPr>
          <w:rFonts w:ascii="微软雅黑" w:hAnsi="微软雅黑" w:eastAsia="微软雅黑"/>
          <w:b w:val="0"/>
          <w:i w:val="0"/>
          <w:color w:val="202833"/>
          <w:sz w:val="22"/>
        </w:rPr>
        <w:t>多地围绕新就业形态权益保障密集出台配套措施，推动平台企业落实劳动保护责任、规范劳动规则与算法。行业数据显示，平台经济下的共享用工、众包等模式持续渗透，灵活用工平台加速合规化、数字化转型，向“全生命周期嵌入式服务”演进。</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灵活用工进入“强合规纪元”，保障立法与社保扩面并举，合规能力成为平台与服务机构的核心门槛，行业集中度有望进一步提升。</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全球HR科技投融资延续活跃，AI+HR成为核心赛道</w:t>
      </w:r>
    </w:p>
    <w:p>
      <w:pPr>
        <w:spacing w:after="140" w:before="0" w:line="312" w:lineRule="auto"/>
        <w:ind w:left="113"/>
      </w:pPr>
      <w:r>
        <w:rPr>
          <w:rFonts w:ascii="微软雅黑" w:hAnsi="微软雅黑" w:eastAsia="微软雅黑"/>
          <w:b w:val="0"/>
          <w:i w:val="0"/>
          <w:color w:val="202833"/>
          <w:sz w:val="22"/>
        </w:rPr>
        <w:t>全球人力资源科技投融资持续活跃。据HRTechChina等行业机构统计，2026年多个月份全球HR科技赛道单月披露投融资事件均在十余起以上，AI人力资源、一线用工管理、薪酬金融、企业内部智能服务、行业垂直人力运营等方向成为资本关注重点。</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原生人力资本管理（HCM）平台HiBob获得赛富时（Salesforce）领投的新一轮融资，Farallon Capital参与跟投，成为“AI+HR”赛道受资本青睐的标志性案例。</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资本聚焦“AI招聘+灵活用工+跨境用工”三大细分方向</w:t>
      </w:r>
    </w:p>
    <w:p>
      <w:pPr>
        <w:spacing w:after="140" w:before="0" w:line="312" w:lineRule="auto"/>
        <w:ind w:left="113"/>
      </w:pPr>
      <w:r>
        <w:rPr>
          <w:rFonts w:ascii="微软雅黑" w:hAnsi="微软雅黑" w:eastAsia="微软雅黑"/>
          <w:b w:val="0"/>
          <w:i w:val="0"/>
          <w:color w:val="202833"/>
          <w:sz w:val="22"/>
        </w:rPr>
        <w:t>从细分方向看，投资机构对AI招聘与人才匹配、灵活用工SaaS、跨境用工与全球薪酬服务三大方向布局明显提速。资本逻辑从早期的“流量与规模”转向“技术壁垒与合规能力”，具备AI算法、数据合规与全球化交付能力的标的更受青睐。</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国资与产业资本加码人才与硬科技赛道</w:t>
      </w:r>
    </w:p>
    <w:p>
      <w:pPr>
        <w:spacing w:after="140" w:before="0" w:line="312" w:lineRule="auto"/>
        <w:ind w:left="113"/>
      </w:pPr>
      <w:r>
        <w:rPr>
          <w:rFonts w:ascii="微软雅黑" w:hAnsi="微软雅黑" w:eastAsia="微软雅黑"/>
          <w:b w:val="0"/>
          <w:i w:val="0"/>
          <w:color w:val="202833"/>
          <w:sz w:val="22"/>
        </w:rPr>
        <w:t>国资与产业资本持续加码人才与硬科技领域：苏州等地成立人才主题创业投资平台，硬科技赛道“抢人大战”加剧，脑机接口、人工智能等前沿领域人才薪酬与融资双双走高。人力资源服务与资本、产业深度融合，'投资于人'的政策导向正转化为实实在在的产业投资机遇。</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资本端延续“技术+合规+全球化”偏好，AI+HR、灵活用工SaaS、跨境用工服务为主要赛道；国资与产业资本入场，进一步激活行业投融资生态。</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事件一：《新就业形态劳动者权益保障办法（征求意见稿）》首纳“不完全劳动关系”</w:t>
      </w:r>
    </w:p>
    <w:p>
      <w:pPr>
        <w:spacing w:after="140" w:before="0" w:line="312" w:lineRule="auto"/>
        <w:ind w:left="113"/>
      </w:pPr>
      <w:r>
        <w:rPr>
          <w:rFonts w:ascii="微软雅黑" w:hAnsi="微软雅黑" w:eastAsia="微软雅黑"/>
          <w:b w:val="0"/>
          <w:i w:val="0"/>
          <w:color w:val="202833"/>
          <w:sz w:val="22"/>
        </w:rPr>
        <w:t>10月8日，人社部就《新就业形态劳动者权益保障办法（征求意见稿）》公开征求意见，为期一个月（至11月8日）。这是我国首部针对新就业形态的部门规章，首次以规章形式将“不完全符合确立劳动关系情形”的劳动者纳入劳动法律制度保障，并用“新就业形态劳动者”概念覆盖网约配送员、网约车司机、网约货运司机、网络主播等8400万群体。</w:t>
      </w:r>
    </w:p>
    <w:p>
      <w:pPr>
        <w:spacing w:after="140" w:before="0" w:line="312" w:lineRule="auto"/>
        <w:ind w:left="113"/>
      </w:pPr>
      <w:r>
        <w:rPr>
          <w:rFonts w:ascii="微软雅黑" w:hAnsi="微软雅黑" w:eastAsia="微软雅黑"/>
          <w:b w:val="0"/>
          <w:i w:val="0"/>
          <w:color w:val="202833"/>
          <w:sz w:val="22"/>
        </w:rPr>
        <w:t>解读：办法的三大突破值得关注——一是“扩面”，通过概念界定将大量处于劳动保障“灰色地带”的从业者纳入制度保护；二是“分类”，对符合确立劳动关系情形的仍按现行劳动法律执行，实现制度有序衔接；三是“压实责任”，规范平台劳动规则与算法，明确平台企业劳动保护责任及合作用工责任，并建立“用工责任穿透机制”，直击“以合作之名规避用工责任”的行业痛点。对灵活用工平台而言，合规成本上升的同时，行业秩序也将更为清晰，长期利好规范经营的企业。</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事件二：人社部“十五五”施工图落地，“人力资源服务+”融合成新亮点</w:t>
      </w:r>
    </w:p>
    <w:p>
      <w:pPr>
        <w:spacing w:after="140" w:before="0" w:line="312" w:lineRule="auto"/>
        <w:ind w:left="113"/>
      </w:pPr>
      <w:r>
        <w:rPr>
          <w:rFonts w:ascii="微软雅黑" w:hAnsi="微软雅黑" w:eastAsia="微软雅黑"/>
          <w:b w:val="0"/>
          <w:i w:val="0"/>
          <w:color w:val="202833"/>
          <w:sz w:val="22"/>
        </w:rPr>
        <w:t>10月10日的国新办发布会系统回答了“十五五”时期就业、社保、人才“怎么干”。其中最值得人力资源行业关注的是“人力资源服务+”融合发展行动被列入“5项行动”，意味着人力资源服务业将从传统的招聘、派遣、外包，加速向与产业、区域、数字技术深度融合的方向演进。</w:t>
      </w:r>
    </w:p>
    <w:p>
      <w:pPr>
        <w:spacing w:after="140" w:before="0" w:line="312" w:lineRule="auto"/>
        <w:ind w:left="113"/>
      </w:pPr>
      <w:r>
        <w:rPr>
          <w:rFonts w:ascii="微软雅黑" w:hAnsi="微软雅黑" w:eastAsia="微软雅黑"/>
          <w:b w:val="0"/>
          <w:i w:val="0"/>
          <w:color w:val="202833"/>
          <w:sz w:val="22"/>
        </w:rPr>
        <w:t>解读：结合“适应人工智能发展促就业行动”，可以预见AI将在人力资源服务全链条（招聘、测评、培训、用工管理）加速渗透；叠加“技能照亮前程”培训行动与每年100万名专业技术人才培养目标，职业技能培训、产教融合、人才数字化服务将成为行业新的增长曲线。对企业和投资机构而言，读懂“十五五”施工图，就是把握未来五年人力资源赛道的战略地图。</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趋势研判：政策红利、AI赋能、全球用工三大主线</w:t>
      </w:r>
    </w:p>
    <w:p>
      <w:pPr>
        <w:spacing w:after="140" w:before="0" w:line="312" w:lineRule="auto"/>
        <w:ind w:left="113"/>
      </w:pPr>
      <w:r>
        <w:rPr>
          <w:rFonts w:ascii="微软雅黑" w:hAnsi="微软雅黑" w:eastAsia="微软雅黑"/>
          <w:b w:val="0"/>
          <w:i w:val="0"/>
          <w:color w:val="202833"/>
          <w:sz w:val="22"/>
        </w:rPr>
        <w:t>一是政策红利释放。“十五五”就业优先战略与首部新就业形态部门规章落地，为行业带来制度性机遇，灵活用工、技能培训、人力资源服务外包等赛道受益明显。二是AI深度赋能。AI促就业行动、AI招聘与人才匹配加速落地，平台竞争从“流量效率”转向“技术效率”。三是全球用工提速。对外劳务合作稳步回升，跨境用工合规与全球薪酬服务成为新蓝海。</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风险提示：合规、权益与数据三重约束需重点关注</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就业与用工市场的政策与合规环境持续收紧，需重点关注三类风险：其一，灵活用工与新就业形态的合规风险，平台用工责任穿透机制下，规避用工责任的操作空间被大幅压缩；其二，招聘环节的个人信息保护、算法公平与就业歧视风险，数据合规要求持续提高；其三，跨境劳务的法律与权益风险，出国务工纠纷与非法中介问题仍需警惕。相关企业、平台与投资机构应提前做好合规研判与风险预案。</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“十五五”开局之年，人力资源行业正站在政策红利与技术变革的交汇点——读懂就业优先战略与权益保障新规，把握AI赋能与全球用工两大增量，同时守牢合规底线，方能在新周期中行稳致远。</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生成时间：2026-10-15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