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报告周期：2026年10月9日 — 10月16日（滚动一周）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人力资源行业迎来“地方政策密集落地＋权益保障立法深化”双重利好：10月14日重庆印发《推动人工智能赋能人力资源服务业高质量发展若干措施》19条，明确算力补贴最高100万元/年、优质数据集最高补贴50万元，计划3年培养1万名“人力资源+AI”复合型人才；10月15日湖北《加快推进人力资源服务业扩能提质行动方案》正式印发，明确到2028年目标任务。与此同时，《新就业形态劳动者权益保障办法（征求意见稿）》持续向社会征求意见（至11月8日），首次以部门联合规章形式将“不完全劳动关系”纳入保障，覆盖8400万新就业形态劳动者。“AI+HR”与“合规提质”成为本周行业两条最清晰的主线。</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重庆出台19条举措推动AI赋能人力资源服务业，算力补贴最高100万元/年、3年培养1万名复合型人才</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湖北印发《加快推进人力资源服务业扩能提质行动方案》，明确到2028年目标任务</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《新就业形态劳动者权益保障办法（征求意见稿）》持续征求意见，54条首次纳入“不完全劳动关系”</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智联招聘三季度快报：养老/看护职位数同比增43.9%登顶全行业，AI工程师起薪1.8万元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同道猎聘上半年收入9.89亿元、同比增5.6%止跌转增，AI赋能BHC生态成业绩拐点</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对外劳务合作1—8月派出劳务人员31.5万人、同比增加4.4万人，跨境用工稳步回暖</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重庆出台19条举措，推动人工智能赋能人力资源服务业高质量发展</w:t>
      </w:r>
    </w:p>
    <w:p>
      <w:pPr>
        <w:spacing w:after="140" w:before="0" w:line="312" w:lineRule="auto"/>
        <w:ind w:left="113"/>
      </w:pPr>
      <w:r>
        <w:rPr>
          <w:rFonts w:ascii="微软雅黑" w:hAnsi="微软雅黑" w:eastAsia="微软雅黑"/>
          <w:b w:val="0"/>
          <w:i w:val="0"/>
          <w:color w:val="202833"/>
          <w:sz w:val="22"/>
        </w:rPr>
        <w:t>近日，重庆印发《重庆市推动人工智能赋能人力资源服务业高质量发展若干措施》，推出19条举措助力行业提质。10月14日，重庆市人力社保局介绍，政策将加快构建“AI+HR+产业”协同体系，以人工智能赋能人力资源服务，为现代化新重庆建设提供人才支撑。</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策在“真金白银”上力度突出：对购买算力服务的单位给予每年最高100万元算力补贴；获评优质行业数据集项目最高可获50万元补贴；支持中试基地申报生产性服务业项目，可享最高2000万元一次性补助；对优质开源项目最高奖励200万元，并鼓励社会资本设立专项产业基金投向早期创新项目。政策还计划依托中试基地，3年内培养1万名兼具人力资源与AI技术能力的复合型人才。</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湖北印发《加快推进人力资源服务业扩能提质行动方案》，明确到2028年目标</w:t>
      </w:r>
    </w:p>
    <w:p>
      <w:pPr>
        <w:spacing w:after="140" w:before="0" w:line="312" w:lineRule="auto"/>
        <w:ind w:left="113"/>
      </w:pPr>
      <w:r>
        <w:rPr>
          <w:rFonts w:ascii="微软雅黑" w:hAnsi="微软雅黑" w:eastAsia="微软雅黑"/>
          <w:b w:val="0"/>
          <w:i w:val="0"/>
          <w:color w:val="202833"/>
          <w:sz w:val="22"/>
        </w:rPr>
        <w:t>10月15日，湖北《加快推进人力资源服务业扩能提质行动方案》正式印发。行动方案聚焦人力资源服务业扩能提质，围绕培育壮大企业梯队、推动转型升级发展、建强用好集聚平台、深化产业就业协同等方面作出系统部署，明确了到2028年全省人力资源服务业发展的目标任务和主要举措。</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是继“十五五”规划将人力资源服务业列为重点产业之后，地方层面推动行业“扩能提质”的又一实质性动作。业内认为，培育壮大企业梯队、深化产业就业协同将成为地方人力资源服务业下一阶段的政策重心。</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《新就业形态劳动者权益保障办法（征求意见稿）》持续征求意见，覆盖8400万人</w:t>
      </w:r>
    </w:p>
    <w:p>
      <w:pPr>
        <w:spacing w:after="140" w:before="0" w:line="312" w:lineRule="auto"/>
        <w:ind w:left="113"/>
      </w:pPr>
      <w:r>
        <w:rPr>
          <w:rFonts w:ascii="微软雅黑" w:hAnsi="微软雅黑" w:eastAsia="微软雅黑"/>
          <w:b w:val="0"/>
          <w:i w:val="0"/>
          <w:color w:val="202833"/>
          <w:sz w:val="22"/>
        </w:rPr>
        <w:t>人力资源和社会保障部等多部门联合起草的《新就业形态劳动者权益保障办法（征求意见稿）》自10月8日公布以来持续向社会公开征求意见，截止时间为11月8日。征求意见稿共54条，以部门联合规章形式规定了新就业形态劳动者的范畴、权益维护原则、部门职责分工、基本劳动权益、劳动规则、企业用工形式、纠纷解决及法律责任等内容，构建了分层分类的权益保障体系。</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求意见稿的最大突破，是把受企业劳动管理、但不完全符合确立劳动关系情形的平台劳动者纳入保障范围，并建立“责任穿透机制”，明确禁止诱导劳动者注册个体工商户、通过多层转包等方式规避用工责任，直击“以合作之名规避用工责任”的行业痛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地方行业活动密集，区域人力资源服务业生态加速成型</w:t>
      </w:r>
    </w:p>
    <w:p>
      <w:pPr>
        <w:spacing w:after="140" w:before="0" w:line="312" w:lineRule="auto"/>
        <w:ind w:left="113"/>
      </w:pPr>
      <w:r>
        <w:rPr>
          <w:rFonts w:ascii="微软雅黑" w:hAnsi="微软雅黑" w:eastAsia="微软雅黑"/>
          <w:b w:val="0"/>
          <w:i w:val="0"/>
          <w:color w:val="202833"/>
          <w:sz w:val="22"/>
        </w:rPr>
        <w:t>河北省第二届人力资源服务创新发展大赛日前落幕，大赛以“数智赋能人力 助推融合发展”为主题，旨在培育遴选具有地方特色、创新价值和引领作用的优秀项目。与此同时，上海意康之人力资源科技集团服务合同纠纷案于10月16日开庭，市场关注案件审理对行业服务合同履约规范的示范效应。</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大赛评选到司法案例，行业“规范化＋数智化”的双重信号持续强化：一方面鼓励创新、培育标杆；另一方面通过案件审理与合规核查，推动服务机构梳理完善合同履约体系。</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政策端呈现“国家立法＋地方落地”双轮驱动格局：AI赋能与扩能提质成为地方政策高频词，权益保障立法持续深化，行业进入规范化、数智化并行的新周期。</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智联招聘：三季度快报显示养老/看护职位数同比增43.9%登顶全行业</w:t>
      </w:r>
    </w:p>
    <w:p>
      <w:pPr>
        <w:spacing w:after="140" w:before="0" w:line="312" w:lineRule="auto"/>
        <w:ind w:left="113"/>
      </w:pPr>
      <w:r>
        <w:rPr>
          <w:rFonts w:ascii="微软雅黑" w:hAnsi="微软雅黑" w:eastAsia="微软雅黑"/>
          <w:b w:val="0"/>
          <w:i w:val="0"/>
          <w:color w:val="202833"/>
          <w:sz w:val="22"/>
        </w:rPr>
        <w:t>10月12日，智联招聘发布《2026年三季度人才市场热点快报》。报告显示，三季度招聘市场延续以新质生产力为引领的驱动格局，2027届毕业生进入秋招求职季，应届生招聘与求职情况成为人才市场热点。</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老/看护行业以43.9%的职位数同比增速登顶全行业，养老服务成为人才市场新的增长引擎。应届生招聘与投递规模TOP行业中，软件/IT服务、互联网、集成电路位列供需前五；专用设备投递增速达75%，数据、芯片、AI等技术岗需求旺盛，AI工程师起薪约1.8万元。报告同时指出，新质与民生赛道全面走强，就业市场结构性分化特征延续。</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同道猎聘：上半年收入9.89亿元、同比增5.6%，AI赋能BHC生态现业绩拐点</w:t>
      </w:r>
    </w:p>
    <w:p>
      <w:pPr>
        <w:spacing w:after="140" w:before="0" w:line="312" w:lineRule="auto"/>
        <w:ind w:left="113"/>
      </w:pPr>
      <w:r>
        <w:rPr>
          <w:rFonts w:ascii="微软雅黑" w:hAnsi="微软雅黑" w:eastAsia="微软雅黑"/>
          <w:b w:val="0"/>
          <w:i w:val="0"/>
          <w:color w:val="202833"/>
          <w:sz w:val="22"/>
        </w:rPr>
        <w:t>同道猎聘（06100.HK）2026年上半年财报显示，实现收入9.89亿元、同比增长5.6%，归母净利润0.88亿元、同比增长9.6%，实现止跌转增，主要得益于AI全面赋能下业务韧性增长以及现金回款连续四个季度改善。</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聘脱胎于猎头服务体系，深耕中高端人才寻访赛道，市场占比约8%，其“BHC（企业—猎头—候选人）生态＋AI”战略正逐步释放商业化成果，为在线招聘平台的技术转型提供了可参照样本。</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安徽规范招聘信息发布：不得使用“高薪”“面议”等模糊表述</w:t>
      </w:r>
    </w:p>
    <w:p>
      <w:pPr>
        <w:spacing w:after="140" w:before="0" w:line="312" w:lineRule="auto"/>
        <w:ind w:left="113"/>
      </w:pPr>
      <w:r>
        <w:rPr>
          <w:rFonts w:ascii="微软雅黑" w:hAnsi="微软雅黑" w:eastAsia="微软雅黑"/>
          <w:b w:val="0"/>
          <w:i w:val="0"/>
          <w:color w:val="202833"/>
          <w:sz w:val="22"/>
        </w:rPr>
        <w:t>安徽省人社厅近日发出通知，进一步规范用人单位和人力资源服务机构招聘信息发布行为，并发布招聘信息发布参考文本，明确招聘信息中工资支付不得使用“高薪”“面议”等模糊表述，不得虚假承诺福利待遇。参考文本涵盖岗位信息、劳动报酬信息、工作单位信息、发布单位信息等内容，适用于线上网络招聘平台及线下招聘会、海报、宣传单页等场景。</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文件明确：用人单位和经营性人力资源服务机构在各类网络招聘平台发布信息应完成账号资质核验，经营性机构账号应按规定公示营业执照、人力资源服务许可证、监督电话等信息，招聘合规要求进一步细化压实。</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招聘市场“总量稳定、结构分化”延续：养老看护、新质生产力岗位需求旺盛，AI技能与起薪双升；头部平台盈利改善，招聘信息发布合规治理趋于精细化、常态化。</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对外劳务合作稳步回暖：1—8月派出劳务人员31.5万人，同比增加4.4万人</w:t>
      </w:r>
    </w:p>
    <w:p>
      <w:pPr>
        <w:spacing w:after="140" w:before="0" w:line="312" w:lineRule="auto"/>
        <w:ind w:left="113"/>
      </w:pPr>
      <w:r>
        <w:rPr>
          <w:rFonts w:ascii="微软雅黑" w:hAnsi="微软雅黑" w:eastAsia="微软雅黑"/>
          <w:b w:val="0"/>
          <w:i w:val="0"/>
          <w:color w:val="202833"/>
          <w:sz w:val="22"/>
        </w:rPr>
        <w:t>据商务主管部门统计，2026年1—8月，我国企业共向境外派出各类劳务人员31.5万人，较上年同期增加4.4万人；其中承包工程项下派出9.2万人，劳务合作项下派出22.3万人，月末在外各类劳务人员规模保持稳定。此前公布的1—7月数据为派出27.4万人、同比增加4.3万人，1—8月延续稳步回升态势。</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结构看，劳务合作项下输出占比持续高于承包工程项下，跨境用工需求向制造业、建筑业、服务业等多元领域扩散，反映海外用工需求持续回暖。</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多地密集公布对外劳务合作企业名单，强化“认准资质”提醒</w:t>
      </w:r>
    </w:p>
    <w:p>
      <w:pPr>
        <w:spacing w:after="140" w:before="0" w:line="312" w:lineRule="auto"/>
        <w:ind w:left="113"/>
      </w:pPr>
      <w:r>
        <w:rPr>
          <w:rFonts w:ascii="微软雅黑" w:hAnsi="微软雅黑" w:eastAsia="微软雅黑"/>
          <w:b w:val="0"/>
          <w:i w:val="0"/>
          <w:color w:val="202833"/>
          <w:sz w:val="22"/>
        </w:rPr>
        <w:t>近期多地商务部门陆续公布经批准的对外劳务合作企业名单。贵阳市商务局公布4家具备资质的企业，并明确劳务经营范围不含港澳台地区；大连市商务局网站更新的对外劳务合作企业名单共列有70家企业，提醒市民出国务工须认准正规企业。</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出国务工需警惕“高薪低门槛”陷阱：务必核验企业是否持有《对外劳务合作经营资格证书》、签订正规合同并留存凭证，避免落入非法劳务中介与“报名费”骗局。</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“中企出海”催生跨境用工与出海人才服务新蓝海</w:t>
      </w:r>
    </w:p>
    <w:p>
      <w:pPr>
        <w:spacing w:after="140" w:before="0" w:line="312" w:lineRule="auto"/>
        <w:ind w:left="113"/>
      </w:pPr>
      <w:r>
        <w:rPr>
          <w:rFonts w:ascii="微软雅黑" w:hAnsi="微软雅黑" w:eastAsia="微软雅黑"/>
          <w:b w:val="0"/>
          <w:i w:val="0"/>
          <w:color w:val="202833"/>
          <w:sz w:val="22"/>
        </w:rPr>
        <w:t>随着中国企业“走出去”步伐加快，海外雇佣合规、属地劳动法、外派员工薪酬社保等问题日益突出。头部人力资源企业加速布局全球化：人瑞人才全球化战略持续推进，其国际业务此前的同比高增长与香港业务布局，成为行业“出海服务”的标志性案例；跨境用工合规咨询、全球薪酬（Global Payroll）、名义雇主（EOR）等需求快速增长。</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内指出，出海人力资源服务正从“模板套用”走向“属地合规”，具备全球交付网络与合规能力的服务机构将率先受益。</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出国劳务总量稳步回升、结构持续优化；行业“合规化、专业化、全球化”趋势明显，具备资质与跨境服务能力的中介机构将率先受益。</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新就业形态权益保障立法深化，平台用工责任全面压实</w:t>
      </w:r>
    </w:p>
    <w:p>
      <w:pPr>
        <w:spacing w:after="140" w:before="0" w:line="312" w:lineRule="auto"/>
        <w:ind w:left="113"/>
      </w:pPr>
      <w:r>
        <w:rPr>
          <w:rFonts w:ascii="微软雅黑" w:hAnsi="微软雅黑" w:eastAsia="微软雅黑"/>
          <w:b w:val="0"/>
          <w:i w:val="0"/>
          <w:color w:val="202833"/>
          <w:sz w:val="22"/>
        </w:rPr>
        <w:t>《新就业形态劳动者权益保障办法（征求意见稿）》的出台，标志着灵活用工从“规模扩张”迈入“权益保障与规范发展”并重阶段。征求意见稿明确平台企业、平台用工合作企业与劳动者之间的协议订立要求，细化三种具体劳动用工形态，并建立“用工责任穿透机制”。</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法监管成为亮点：征求意见稿将算法纳入“劳动规则”范畴，提出“算法取中”原则，明确用人单位的解释义务、自动化决策中的人工干预义务，并赋予工会监督和政府有关部门算法合理性审查的权利，既保障劳动者知情权，又避免过度干预企业技术创新。</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平台企业主动完善权益保障，美团上线“防疲劳机制”</w:t>
      </w:r>
    </w:p>
    <w:p>
      <w:pPr>
        <w:spacing w:after="140" w:before="0" w:line="312" w:lineRule="auto"/>
        <w:ind w:left="113"/>
      </w:pPr>
      <w:r>
        <w:rPr>
          <w:rFonts w:ascii="微软雅黑" w:hAnsi="微软雅黑" w:eastAsia="微软雅黑"/>
          <w:b w:val="0"/>
          <w:i w:val="0"/>
          <w:color w:val="202833"/>
          <w:sz w:val="22"/>
        </w:rPr>
        <w:t>在政策引导下，多家平台企业主动完善新就业形态劳动者权益保障。美团根据骑手建议完善休息权益，推出防疲劳机制，建立“4小时提醒、8小时弹窗、12小时强制下线”的防护体系；多家平台同步在技能提升、休息保障等方面加大投入。</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台企业从被动合规转向主动治理，一方面是回应监管要求，另一方面也是改善骑手体验、提升留存与履约质量的现实选择，平台用工治理正走向“技术＋制度”并重。</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金税四期深化，灵活用工进入“强合规纪元”</w:t>
      </w:r>
    </w:p>
    <w:p>
      <w:pPr>
        <w:spacing w:after="140" w:before="0" w:line="312" w:lineRule="auto"/>
        <w:ind w:left="113"/>
      </w:pPr>
      <w:r>
        <w:rPr>
          <w:rFonts w:ascii="微软雅黑" w:hAnsi="微软雅黑" w:eastAsia="微软雅黑"/>
          <w:b w:val="0"/>
          <w:i w:val="0"/>
          <w:color w:val="202833"/>
          <w:sz w:val="22"/>
        </w:rPr>
        <w:t>随着金税四期全面深化，灵活用工行业告别“野蛮生长”，迈入“以数治税”的强合规时代。业内普遍认为，合规能力正成为灵活用工平台的核心门槛，倒逼平台从粗放的“税务筹划”转向以真实用工为核心的合规服务。市场层面，头部灵活用工平台资本化进程提速，灵卡科技此前递表港交所，按2025年收入计为中国最大灵活用工平台之一。</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需警惕以“灵活用工”之名行虚开发票之实的违规模式：近期多地曝出借灵活用工平台虚开发票、帮助企业逃税被刑拘的案例，企业在选择平台时应重点核查业务真实性、税务合规性与资金安全。</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灵活用工进入“强合规纪元”：保障立法、算法监管与社保扩面三管齐下，合规能力成为平台与服务机构的生死线，行业集中度有望进一步提升。</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地方政策引导社会资本入局，人力资源赛道产融结合提速</w:t>
      </w:r>
    </w:p>
    <w:p>
      <w:pPr>
        <w:spacing w:after="140" w:before="0" w:line="312" w:lineRule="auto"/>
        <w:ind w:left="113"/>
      </w:pPr>
      <w:r>
        <w:rPr>
          <w:rFonts w:ascii="微软雅黑" w:hAnsi="微软雅黑" w:eastAsia="微软雅黑"/>
          <w:b w:val="0"/>
          <w:i w:val="0"/>
          <w:color w:val="202833"/>
          <w:sz w:val="22"/>
        </w:rPr>
        <w:t>重庆19条举措明确提出，鼓励社会资本设立专项产业基金，投向人力资源与AI融合的早期创新项目，并对优质开源项目最高奖励200万元。政策以“补贴＋基金＋人才培养”组合拳，引导资本关注早期、硬科技与人才服务结合的方向，人力资源赛道的产融结合明显提速。</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方“人才主题基金＋人力资源服务业”联动，正成为国资与产业资本布局的新范式，早期创新项目有望获得更友好的资本环境。</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全球HR科技投融资延续活跃，AI+HR成核心赛道</w:t>
      </w:r>
    </w:p>
    <w:p>
      <w:pPr>
        <w:spacing w:after="140" w:before="0" w:line="312" w:lineRule="auto"/>
        <w:ind w:left="113"/>
      </w:pPr>
      <w:r>
        <w:rPr>
          <w:rFonts w:ascii="微软雅黑" w:hAnsi="微软雅黑" w:eastAsia="微软雅黑"/>
          <w:b w:val="0"/>
          <w:i w:val="0"/>
          <w:color w:val="202833"/>
          <w:sz w:val="22"/>
        </w:rPr>
        <w:t>全球人力资源科技投融资持续活跃。基于云的HR管理软件开发商BrioHR完成870万新元（约合640万美元）A轮融资，由Openspace Ventures领投，多家区域投资者跟投，资金用于加速拓展东南亚HR SaaS市场。</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细分方向看，AI招聘与人才匹配、灵活用工SaaS、跨境用工与全球薪酬服务持续受资本关注；“AI+HR”成为贯穿国内外投融资的主线，资本逻辑从“流量与规模”转向“技术壁垒与合规能力”。</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人力资源服务机构资本化与业态升级并行</w:t>
      </w:r>
    </w:p>
    <w:p>
      <w:pPr>
        <w:spacing w:after="140" w:before="0" w:line="312" w:lineRule="auto"/>
        <w:ind w:left="113"/>
      </w:pPr>
      <w:r>
        <w:rPr>
          <w:rFonts w:ascii="微软雅黑" w:hAnsi="微软雅黑" w:eastAsia="微软雅黑"/>
          <w:b w:val="0"/>
          <w:i w:val="0"/>
          <w:color w:val="202833"/>
          <w:sz w:val="22"/>
        </w:rPr>
        <w:t>人力资源服务机构在资本市场的动作持续活跃：北京国际人力集团（品牌FESCO）以全链条人才服务为抓手，深化“新职业”与人才服务生态布局；外服控股等上市平台被市场视为集团优质资产整合的潜在载体；中高端人才寻访、灵活用工数字化运营成为机构提升估值的关键业务。</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投资于人”的政策导向正逐步转化为产业投资机遇，具备技术壁垒、合规能力与全球化交付能力的服务机构更受资本青睐。</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资本端延续“技术＋合规＋全球化”偏好：AI+HR、灵活用工SaaS、跨境用工服务为主要赛道；地方产业基金与国资入场，进一步激活行业投融资生态。</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事件一：重庆19条与湖北三年行动方案——地方“AI+HR”竞赛鸣枪</w:t>
      </w:r>
    </w:p>
    <w:p>
      <w:pPr>
        <w:spacing w:after="140" w:before="0" w:line="312" w:lineRule="auto"/>
        <w:ind w:left="113"/>
      </w:pPr>
      <w:r>
        <w:rPr>
          <w:rFonts w:ascii="微软雅黑" w:hAnsi="微软雅黑" w:eastAsia="微软雅黑"/>
          <w:b w:val="0"/>
          <w:i w:val="0"/>
          <w:color w:val="202833"/>
          <w:sz w:val="22"/>
        </w:rPr>
        <w:t>本周地方政策密集落地：重庆19条以“算力补贴＋数据集补贴＋中试基地补助＋专项基金”构建“AI+HR+产业”协同体系，并计划3年培养1万名复合型人才；湖北则以三年行动方案明确“扩能提质”到2028年的目标任务。两地政策一南一中，共同指向人力资源服务业的“数智化升级”。</w:t>
      </w:r>
    </w:p>
    <w:p>
      <w:pPr>
        <w:spacing w:after="140" w:before="0" w:line="312" w:lineRule="auto"/>
        <w:ind w:left="113"/>
      </w:pPr>
      <w:r>
        <w:rPr>
          <w:rFonts w:ascii="微软雅黑" w:hAnsi="微软雅黑" w:eastAsia="微软雅黑"/>
          <w:b w:val="0"/>
          <w:i w:val="0"/>
          <w:color w:val="202833"/>
          <w:sz w:val="22"/>
        </w:rPr>
        <w:t>解读：地方政策的逻辑正在从“招商引资”转向“培育生态”。重庆的算力与数据集补贴直击AI应用的成本与技术瓶颈，中试基地补助与人才目标则意在打通“技术—产品—产业化”链条；湖北的“企业梯队＋集聚平台”则强调行业组织形态升级。对人力资源服务机构而言，能否纳入地方“AI+HR”生态、拿到算力与数据要素支持，将成为未来几年区域竞争力的关键变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事件二：《新就业形态劳动者权益保障办法》——从“灰色地带”到“制度护航”</w:t>
      </w:r>
    </w:p>
    <w:p>
      <w:pPr>
        <w:spacing w:after="140" w:before="0" w:line="312" w:lineRule="auto"/>
        <w:ind w:left="113"/>
      </w:pPr>
      <w:r>
        <w:rPr>
          <w:rFonts w:ascii="微软雅黑" w:hAnsi="微软雅黑" w:eastAsia="微软雅黑"/>
          <w:b w:val="0"/>
          <w:i w:val="0"/>
          <w:color w:val="202833"/>
          <w:sz w:val="22"/>
        </w:rPr>
        <w:t>征求意见稿共54条，首次以部门联合规章形式，将受企业劳动管理但不完全符合确立劳动关系情形的8400万平台劳动者纳入保障范围，并建立“责任穿透机制”、明确“算法取中”原则。专家指出，这是我国劳动法律制度适配平台经济的关键一步。</w:t>
      </w:r>
    </w:p>
    <w:p>
      <w:pPr>
        <w:spacing w:after="140" w:before="0" w:line="312" w:lineRule="auto"/>
        <w:ind w:left="113"/>
      </w:pPr>
      <w:r>
        <w:rPr>
          <w:rFonts w:ascii="微软雅黑" w:hAnsi="微软雅黑" w:eastAsia="微软雅黑"/>
          <w:b w:val="0"/>
          <w:i w:val="0"/>
          <w:color w:val="202833"/>
          <w:sz w:val="22"/>
        </w:rPr>
        <w:t>解读：办法的三大突破值得关注——一是“扩面”，通过概念界定将大量处于劳动保障“灰色地带”的从业者纳入制度保护；二是“分类”，按用工事实决定关系属性，符合劳动关系标准的签劳动合同，有劳动管理但不符合的签书面用工协议，共同实施管理的签三方协议；三是“压实责任”，禁止诱导注册个体工商户、多层转包等规避手段，并赋予工会与政府部门算法审查权。对灵活用工平台而言，短期合规成本上升，但行业秩序更清晰，长期利好规范经营的企业，行业将加速“良币驱逐劣币”。</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趋势研判：AI赋能、合规提质、全球用工三大主线</w:t>
      </w:r>
    </w:p>
    <w:p>
      <w:pPr>
        <w:spacing w:after="140" w:before="0" w:line="312" w:lineRule="auto"/>
        <w:ind w:left="113"/>
      </w:pPr>
      <w:r>
        <w:rPr>
          <w:rFonts w:ascii="微软雅黑" w:hAnsi="微软雅黑" w:eastAsia="微软雅黑"/>
          <w:b w:val="0"/>
          <w:i w:val="0"/>
          <w:color w:val="202833"/>
          <w:sz w:val="22"/>
        </w:rPr>
        <w:t>一是AI赋能成为地方政策主线。重庆率先以算力、数据要素补贴推动“AI+HR”，预计将有更多地区跟进，“算力券”“数据集补贴”或成行业新标配。二是合规提质走向纵深。《新就业形态劳动者权益保障办法》叠加安徽等地招聘信息发布规范，行业从“规模优先”转向“质量与合规并重”，合规能力成为服务机构的核心资产。三是全球用工提速。对外劳务合作稳步回暖，跨境用工合规与出海人才服务成为新蓝海，具备全球交付网络与属地合规能力的机构将率先受益。</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风险提示：合规、数据与跨境三重约束需重点关注</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需重点关注三类风险：其一，灵活用工与新就业形态的合规风险，“用工责任穿透机制”与算法监管落地后，规避用工责任、粗放税务筹划的操作空间被大幅压缩，借灵活用工虚开发票更面临刑事风险；其二，招聘环节的合规与数据风险，招聘信息“高薪”“面议”等模糊表述、账号资质核验、个人信息保护等要求持续收紧；其三，跨境劳务的法律与权益风险，出国务工纠纷与非法中介问题仍需警惕。相关企业、平台与投资机构应提前做好合规研判与风险预案。</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本周行业信号清晰：地方“AI+HR”政策竞赛正式鸣枪，权益保障立法从“灰色地带”走向“制度护航”。人力资源服务机构既要抢抓算力、数据等政策红利，也要把合规与算法治理内化为核心能力——读懂“AI赋能”与“合规提质”两条主线，方能在新周期中行稳致远。</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生成时间：2026-10-16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