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center"/>
      </w:pPr>
      <w:r>
        <w:rPr>
          <w:rFonts w:ascii="微软雅黑" w:hAnsi="微软雅黑" w:eastAsia="微软雅黑"/>
          <w:b/>
          <w:i w:val="0"/>
          <w:color w:val="0F2452"/>
          <w:sz w:val="48"/>
        </w:rPr>
        <w:t>人力资源行业新闻周报</w:t>
      </w:r>
    </w:p>
    <w:p>
      <w:pPr>
        <w:spacing w:after="40" w:before="0" w:line="312" w:lineRule="auto"/>
        <w:jc w:val="center"/>
      </w:pPr>
      <w:r>
        <w:rPr>
          <w:rFonts w:ascii="微软雅黑" w:hAnsi="微软雅黑" w:eastAsia="微软雅黑"/>
          <w:b/>
          <w:i w:val="0"/>
          <w:color w:val="1E4E9C"/>
          <w:sz w:val="22"/>
        </w:rPr>
        <w:t>Weekly HR Industry News Report</w:t>
      </w:r>
    </w:p>
    <w:p>
      <w:pPr>
        <w:spacing w:after="200" w:before="0" w:line="312" w:lineRule="auto"/>
        <w:jc w:val="center"/>
      </w:pPr>
      <w:r>
        <w:rPr>
          <w:rFonts w:ascii="微软雅黑" w:hAnsi="微软雅黑" w:eastAsia="微软雅黑"/>
          <w:b w:val="0"/>
          <w:i w:val="0"/>
          <w:color w:val="5C6B7A"/>
          <w:sz w:val="21"/>
        </w:rPr>
        <w:t>报告周期：2026年10月10日 — 10月17日（滚动一周）</w:t>
      </w:r>
    </w:p>
    <w:p>
      <w:pPr>
        <w:spacing w:after="160" w:line="336" w:lineRule="auto"/>
        <w:shd w:val="clear" w:fill="FFF4E6"/>
      </w:pPr>
      <w:r>
        <w:rPr>
          <w:rFonts w:ascii="微软雅黑" w:hAnsi="微软雅黑" w:eastAsia="微软雅黑"/>
          <w:b/>
          <w:i w:val="0"/>
          <w:color w:val="F57C00"/>
          <w:sz w:val="21"/>
        </w:rPr>
        <w:t>本周核心动向：</w:t>
      </w:r>
      <w:r>
        <w:rPr>
          <w:rFonts w:ascii="微软雅黑" w:hAnsi="微软雅黑" w:eastAsia="微软雅黑"/>
          <w:b w:val="0"/>
          <w:i w:val="0"/>
          <w:color w:val="141A26"/>
          <w:sz w:val="21"/>
        </w:rPr>
        <w:t>本周人力资源行业延续“地方政策密集落地＋权益保障立法深化＋招聘市场结构分化”三线共振。10月16日，湖北《加快推进人力资源服务业扩能提质行动方案》正式印发，聚焦培育企业梯队、推动转型升级、建强集聚平台、深化产业就业协同，明确到2028年的目标任务；重庆19条AI赋能人力资源服务业的政策效应持续释放，单项最高补助2000万元。与此同时，人社部10月8日发布的《新就业形态劳动者权益保障办法（征求意见稿）》持续向社会征求意见（至11月8日），首次以部门联合规章形式将“不完全劳动关系”纳入保障，覆盖约8400万新就业形态劳动者。在线招聘端，智联招聘三季度快报显示养老/看护职位数同比增43.9%登顶全行业；“AI+HR”与“合规提质”仍是本周最清晰的两条主线。</w:t>
      </w:r>
    </w:p>
    <w:p>
      <w:pPr>
        <w:spacing w:after="80" w:before="120" w:line="312" w:lineRule="auto"/>
      </w:pPr>
      <w:r>
        <w:rPr>
          <w:rFonts w:ascii="微软雅黑" w:hAnsi="微软雅黑" w:eastAsia="微软雅黑"/>
          <w:b/>
          <w:i w:val="0"/>
          <w:color w:val="1E4E9C"/>
          <w:sz w:val="28"/>
        </w:rPr>
        <w:t>◆ 本期速览</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湖北印发《加快推进人力资源服务业扩能提质行动方案》，明确到2028年目标任务（10月16日）</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重庆19条举措推动AI赋能人力资源服务业，中试基地最高补助2000万元、3年培养1万名复合型人才</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《新就业形态劳动者权益保障办法（征求意见稿）》持续征求意见（至11月8日），首纳“不完全劳动关系”</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智联招聘三季度快报：养老/看护职位数同比增43.9%居首，数据工程师应届职位增速57.4%</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对外劳务合作1—8月派出劳务人员31.5万人、同比增加4.4万人，跨境用工稳步回暖</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灵活就业人员参加职工医保提质专项行动落地推进，多地织密灵活就业群体社保网络</w:t>
      </w:r>
    </w:p>
    <w:p>
      <w:pPr>
        <w:spacing w:after="120" w:before="240" w:line="312" w:lineRule="auto"/>
        <w:shd w:val="clear" w:fill="EAF1FB"/>
      </w:pPr>
      <w:r>
        <w:rPr>
          <w:rFonts w:ascii="微软雅黑" w:hAnsi="微软雅黑" w:eastAsia="微软雅黑"/>
          <w:b/>
          <w:i w:val="0"/>
          <w:color w:val="1E4E9C"/>
          <w:sz w:val="30"/>
        </w:rPr>
        <w:t>◆ 行业要闻速览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1. 湖北印发《加快推进人力资源服务业扩能提质行动方案》，明确到2028年目标</w:t>
      </w:r>
    </w:p>
    <w:p>
      <w:pPr>
        <w:spacing w:after="140" w:before="0" w:line="312" w:lineRule="auto"/>
        <w:ind w:left="113"/>
      </w:pPr>
      <w:r>
        <w:rPr>
          <w:rFonts w:ascii="微软雅黑" w:hAnsi="微软雅黑" w:eastAsia="微软雅黑"/>
          <w:b w:val="0"/>
          <w:i w:val="0"/>
          <w:color w:val="202833"/>
          <w:sz w:val="22"/>
        </w:rPr>
        <w:t>据人民网10月16日报道，湖北《加快推进人力资源服务业扩能提质行动方案》正式印发。行动方案聚焦人力资源服务业扩能提质，围绕培育壮大企业梯队、推动转型升级发展、建强用好集聚平台、深化产业就业协同等方面作出系统部署，明确了到2028年全省人力资源服务业发展的目标任务和主要举措。</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是继“十五五”规划将人力资源服务业列为重点产业之后，地方层面推动行业“扩能提质”的又一实质性动作。业内认为，“培育壮大企业梯队＋建强集聚平台＋深化产业就业协同”将成为地方人力资源服务业下一阶段的政策重心，具备规模化交付与产业协同能力的机构将优先受益。</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 重庆19条AI赋能政策效应持续释放，单项最高补助2000万元</w:t>
      </w:r>
    </w:p>
    <w:p>
      <w:pPr>
        <w:spacing w:after="140" w:before="0" w:line="312" w:lineRule="auto"/>
        <w:ind w:left="113"/>
      </w:pPr>
      <w:r>
        <w:rPr>
          <w:rFonts w:ascii="微软雅黑" w:hAnsi="微软雅黑" w:eastAsia="微软雅黑"/>
          <w:b w:val="0"/>
          <w:i w:val="0"/>
          <w:color w:val="202833"/>
          <w:sz w:val="22"/>
        </w:rPr>
        <w:t>重庆此前印发的《重庆市推动人工智能赋能人力资源服务业高质量发展若干措施》持续引发关注。政策围绕人力资源培养、评价、流动、利用、保障与治理五大核心业务，从“数、算、模、用”夯实智能应用底座，对开展AI大模型训练推理、数据标注、数据分析等算力应用给予补贴，中试基地申报现代生产性服务业项目可依法依规获不超过2000万元一次性补助。</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策还提出对成效显著的开源社区、开源组织和开源项目给予最高200万元奖励，并计划3年内培养1万名兼具人力资源与AI技术能力的复合型人才。地方以“补贴＋基金＋人才培养”组合拳推动行业智能化升级，为人服机构数字化转型提供了明确的资金与场景支撑。</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3. 《新就业形态劳动者权益保障办法（征求意见稿）》持续征求意见，覆盖约8400万人</w:t>
      </w:r>
    </w:p>
    <w:p>
      <w:pPr>
        <w:spacing w:after="140" w:before="0" w:line="312" w:lineRule="auto"/>
        <w:ind w:left="113"/>
      </w:pPr>
      <w:r>
        <w:rPr>
          <w:rFonts w:ascii="微软雅黑" w:hAnsi="微软雅黑" w:eastAsia="微软雅黑"/>
          <w:b w:val="0"/>
          <w:i w:val="0"/>
          <w:color w:val="202833"/>
          <w:sz w:val="22"/>
        </w:rPr>
        <w:t>人社部会同有关部门起草的《新就业形态劳动者权益保障办法（征求意见稿）》自10月8日公布以来持续向社会公开征求意见，截止时间为11月8日。征求意见稿首次以部门联合规章形式，将受企业劳动管理、但不完全符合确立劳动关系情形的平台劳动者纳入保障范围，构建了分层分类的权益保障体系。</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法的最大突破是建立“责任穿透机制”，明确禁止诱导劳动者注册个体工商户、通过多层转包等方式规避用工责任，直击“以合作之名规避用工责任”的行业痛点。业内认为，这是我国劳动法律制度适配平台经济的关键一步，将对企业用工模式、平台责任划分与灵活用工合规成本产生深远影响。</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4. 地方就业服务密集开展，人力资源服务促就业走深走实</w:t>
      </w:r>
    </w:p>
    <w:p>
      <w:pPr>
        <w:spacing w:after="140" w:before="0" w:line="312" w:lineRule="auto"/>
        <w:ind w:left="113"/>
      </w:pPr>
      <w:r>
        <w:rPr>
          <w:rFonts w:ascii="微软雅黑" w:hAnsi="微软雅黑" w:eastAsia="微软雅黑"/>
          <w:b w:val="0"/>
          <w:i w:val="0"/>
          <w:color w:val="202833"/>
          <w:sz w:val="22"/>
        </w:rPr>
        <w:t>据陕西榆林市人社局消息，2026年10月16日，陕西省人力资源服务促就业行动陕北片区座谈会在榆林召开。座谈会立足能源化工、新能源主导产业实际，聚焦激活人力资源市场效能、夯实稳就业根基。与此同时，多地陆续开展金秋招聘月、退役军人专场招聘会等专项活动，搭建供需对接平台。</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社部此前明确“十五五”时期将稳定国企等招录规模、重点帮扶高校毕业生就业，并推出国家大学生就业服务平台40场线上专场招聘。政策端“扩渠道＋优服务＋强协同”的组合持续加码，公共就业服务与市场化人力资源服务的协同空间进一步打开。</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政策端呈现“国家立法＋地方落地”双轮驱动格局：扩能提质与AI赋能成为地方政策高频词，权益保障立法持续深化，行业进入规范化、数智化并行的新周期。</w:t>
      </w:r>
    </w:p>
    <w:p>
      <w:pPr>
        <w:spacing w:after="120" w:before="240" w:line="312" w:lineRule="auto"/>
        <w:shd w:val="clear" w:fill="EAF1FB"/>
      </w:pPr>
      <w:r>
        <w:rPr>
          <w:rFonts w:ascii="微软雅黑" w:hAnsi="微软雅黑" w:eastAsia="微软雅黑"/>
          <w:b/>
          <w:i w:val="0"/>
          <w:color w:val="1E4E9C"/>
          <w:sz w:val="30"/>
        </w:rPr>
        <w:t>◆ 在线招聘板块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智联招聘：三季度快报显示养老/看护职位数同比增43.9%登顶全行业</w:t>
      </w:r>
    </w:p>
    <w:p>
      <w:pPr>
        <w:spacing w:after="140" w:before="0" w:line="312" w:lineRule="auto"/>
        <w:ind w:left="113"/>
      </w:pPr>
      <w:r>
        <w:rPr>
          <w:rFonts w:ascii="微软雅黑" w:hAnsi="微软雅黑" w:eastAsia="微软雅黑"/>
          <w:b w:val="0"/>
          <w:i w:val="0"/>
          <w:color w:val="202833"/>
          <w:sz w:val="22"/>
        </w:rPr>
        <w:t>10月12日，智联招聘发布《2026年三季度人才市场热点快报》。据新浪财经、东方财富网报道，报告显示，2026年三季度招聘市场延续以新质生产力为引领的驱动格局，并在此基础上涌现出新亮点：养老/看护行业以43.9%的职位数同比增速登顶所有行业，养老服务成为人才市场新的增长引擎。</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职业看，三季度应届职位数增速领先的职业集中在数据、芯片、AI、医药研发等技术方向，其中数据工程师以57.4%的应届职位数同比增速位居榜首。应届生招聘与投递规模TOP行业中，软件/IT服务、互联网、集成电路位列供需前五；报告同时指出，新质与民生赛道全面走强，就业市场结构性分化特征延续。</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BOSS直聘：延续用户与商业化双轮驱动，蓝领与中小企业成为增长重点</w:t>
      </w:r>
    </w:p>
    <w:p>
      <w:pPr>
        <w:spacing w:after="140" w:before="0" w:line="312" w:lineRule="auto"/>
        <w:ind w:left="113"/>
      </w:pPr>
      <w:r>
        <w:rPr>
          <w:rFonts w:ascii="微软雅黑" w:hAnsi="微软雅黑" w:eastAsia="微软雅黑"/>
          <w:b w:val="0"/>
          <w:i w:val="0"/>
          <w:color w:val="202833"/>
          <w:sz w:val="22"/>
        </w:rPr>
        <w:t>BOSS直聘延续“直聊”模式优势，持续优化AI智能匹配算法、强化即时沟通效率，同时在中小企业和蓝领市场加大拓展力度。据行业测评数据，BOSS直聘在月活跃用户数上长期保持行业领先，但白领市场渗透率约26.4%，仍需面对智联招聘、前程无忧等巨头深耕多年的竞争。</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场观察指出，招聘平台竞争焦点正从“渠道流量”转向“技术效率＋数据洞察＋合规能力”。头部平台在AI面试、智能人岗匹配、企业端协作工具等方向持续投入，技术投入的产出效率将成为衡量平台竞争力的关键指标。</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招聘信息发布合规治理趋于精细化、常态化</w:t>
      </w:r>
    </w:p>
    <w:p>
      <w:pPr>
        <w:spacing w:after="140" w:before="0" w:line="312" w:lineRule="auto"/>
        <w:ind w:left="113"/>
      </w:pPr>
      <w:r>
        <w:rPr>
          <w:rFonts w:ascii="微软雅黑" w:hAnsi="微软雅黑" w:eastAsia="微软雅黑"/>
          <w:b w:val="0"/>
          <w:i w:val="0"/>
          <w:color w:val="202833"/>
          <w:sz w:val="22"/>
        </w:rPr>
        <w:t>此前人社部会同中央网信办、工信部、公安部、金融监管总局等五部门，就规范网络平台招聘类信息发布对智联招聘、BOSS直聘、58同城、脉脉、抖音、快手、新浪微博、百度贴吧等网络平台开展行政指导，要求压实信息内容管理主体责任，做到资质审核到位、信息发布规范。</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同期，安徽等地进一步明确招聘信息中工资支付不得使用“高薪”“面议”等模糊表述，经营性人力资源服务机构账号应公示营业执照、人力资源服务许可证等信息。招聘合规要求进一步细化压实，平台与机构的合规成本持续上升。</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招聘市场“总量稳定、结构分化”延续：养老看护、新质生产力岗位需求旺盛，AI技能与起薪双升；头部平台盈利与生态改善，招聘信息发布合规治理趋于常态化。</w:t>
      </w:r>
    </w:p>
    <w:p>
      <w:pPr>
        <w:spacing w:after="120" w:before="240" w:line="312" w:lineRule="auto"/>
        <w:shd w:val="clear" w:fill="EAF1FB"/>
      </w:pPr>
      <w:r>
        <w:rPr>
          <w:rFonts w:ascii="微软雅黑" w:hAnsi="微软雅黑" w:eastAsia="微软雅黑"/>
          <w:b/>
          <w:i w:val="0"/>
          <w:color w:val="1E4E9C"/>
          <w:sz w:val="30"/>
        </w:rPr>
        <w:t>◆ 出国劳务板块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对外劳务合作稳步回暖：1—8月派出劳务人员31.5万人，同比增加4.4万人</w:t>
      </w:r>
    </w:p>
    <w:p>
      <w:pPr>
        <w:spacing w:after="140" w:before="0" w:line="312" w:lineRule="auto"/>
        <w:ind w:left="113"/>
      </w:pPr>
      <w:r>
        <w:rPr>
          <w:rFonts w:ascii="微软雅黑" w:hAnsi="微软雅黑" w:eastAsia="微软雅黑"/>
          <w:b w:val="0"/>
          <w:i w:val="0"/>
          <w:color w:val="202833"/>
          <w:sz w:val="22"/>
        </w:rPr>
        <w:t>据商务部对外投资和经济合作司统计，2026年1—8月，我国企业共向境外派出各类劳务人员31.5万人，较上年同期增加4.4万人；其中承包工程项下派出9.2万人，劳务合作项下派出22.3万人，月末在外各类劳务人员规模保持稳定（据同花顺报道）。从月度累计看，1—7月派出27.4万人，1—8月增至31.5万人，逐月回升态势清晰。</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结构看，劳务合作项下输出占比持续高于承包工程项下，跨境用工需求向制造业、建筑业、服务业等多元领域扩散，反映海外用工需求持续回暖。</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多地密集公布对外劳务合作企业名单，强化“认准资质”提醒</w:t>
      </w:r>
    </w:p>
    <w:p>
      <w:pPr>
        <w:spacing w:after="140" w:before="0" w:line="312" w:lineRule="auto"/>
        <w:ind w:left="113"/>
      </w:pPr>
      <w:r>
        <w:rPr>
          <w:rFonts w:ascii="微软雅黑" w:hAnsi="微软雅黑" w:eastAsia="微软雅黑"/>
          <w:b w:val="0"/>
          <w:i w:val="0"/>
          <w:color w:val="202833"/>
          <w:sz w:val="22"/>
        </w:rPr>
        <w:t>近期多地商务部门陆续公布经批准的对外劳务合作企业名单。贵阳市商务局公布4家具备资质的企业，并明确劳务经营范围不含港澳台地区；大连市商务局此前更新的对外劳务合作企业名单共列有70家企业，提醒市民出国务工须认准正规企业。</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出国务工需警惕“高薪低门槛”陷阱：务必核验企业是否持有《对外劳务合作经营资格证书》、签订正规合同并留存凭证，避免落入非法劳务中介与“报名费”骗局。近期仍有“花3.7万元找中介出国劳务、应聘电工却被安排重体力劳动”的纠纷被曝光。</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“中企出海”催生跨境用工与出海人才服务新蓝海</w:t>
      </w:r>
    </w:p>
    <w:p>
      <w:pPr>
        <w:spacing w:after="140" w:before="0" w:line="312" w:lineRule="auto"/>
        <w:ind w:left="113"/>
      </w:pPr>
      <w:r>
        <w:rPr>
          <w:rFonts w:ascii="微软雅黑" w:hAnsi="微软雅黑" w:eastAsia="微软雅黑"/>
          <w:b w:val="0"/>
          <w:i w:val="0"/>
          <w:color w:val="202833"/>
          <w:sz w:val="22"/>
        </w:rPr>
        <w:t>随着中国企业“走出去”步伐加快，海外雇佣合规、属地劳动法、外派员工薪酬社保等问题日益突出。据同花顺报道，云生集团浙江公司上榜浙江人力服务综合100强，并入选国际化服务清单，其“出海易Chuhaiyi”品牌聚焦跨境用工法规、多国薪酬税务管理与海外用工合规。</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内指出，出海人力资源服务正从“模板套用”走向“属地合规”，EOR（名义雇主）、全球薪酬（Global Payroll）、跨境合规咨询等需求快速增长，具备全球交付网络与属地合规能力的服务机构将率先受益。</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出国劳务总量稳步回升、结构持续优化；行业“合规化、专业化、全球化”趋势明显，具备资质与跨境服务能力的中介机构将率先受益。</w:t>
      </w:r>
    </w:p>
    <w:p>
      <w:pPr>
        <w:spacing w:after="120" w:before="240" w:line="312" w:lineRule="auto"/>
        <w:shd w:val="clear" w:fill="EAF1FB"/>
      </w:pPr>
      <w:r>
        <w:rPr>
          <w:rFonts w:ascii="微软雅黑" w:hAnsi="微软雅黑" w:eastAsia="微软雅黑"/>
          <w:b/>
          <w:i w:val="0"/>
          <w:color w:val="1E4E9C"/>
          <w:sz w:val="30"/>
        </w:rPr>
        <w:t>◆ 灵活用工板块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新就业形态权益保障立法深化，平台用工责任全面压实</w:t>
      </w:r>
    </w:p>
    <w:p>
      <w:pPr>
        <w:spacing w:after="140" w:before="0" w:line="312" w:lineRule="auto"/>
        <w:ind w:left="113"/>
      </w:pPr>
      <w:r>
        <w:rPr>
          <w:rFonts w:ascii="微软雅黑" w:hAnsi="微软雅黑" w:eastAsia="微软雅黑"/>
          <w:b w:val="0"/>
          <w:i w:val="0"/>
          <w:color w:val="202833"/>
          <w:sz w:val="22"/>
        </w:rPr>
        <w:t>《新就业形态劳动者权益保障办法（征求意见稿）》的出台，标志着灵活用工从“规模扩张”迈入“权益保障与规范发展”并重阶段。据虎嗅网10月16日报道，征求意见稿首次将不完全符合劳动关系情形的骑手、网约车司机等纳入劳动法律制度保障，直接回应了平台经济中“用工关系认定难”的核心矛盾。</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法构建了多层次、多元化的纠纷解决机制，要求企业内部建立常态化沟通和申诉机制；同时将算法纳入“劳动规则”范畴，明确用人单位的解释义务与自动化决策中的人工干预义务，既保障劳动者知情权，又避免过度干预企业技术创新。</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灵活就业人员参加职工医保提质专项行动落地推进</w:t>
      </w:r>
    </w:p>
    <w:p>
      <w:pPr>
        <w:spacing w:after="140" w:before="0" w:line="312" w:lineRule="auto"/>
        <w:ind w:left="113"/>
      </w:pPr>
      <w:r>
        <w:rPr>
          <w:rFonts w:ascii="微软雅黑" w:hAnsi="微软雅黑" w:eastAsia="微软雅黑"/>
          <w:b w:val="0"/>
          <w:i w:val="0"/>
          <w:color w:val="202833"/>
          <w:sz w:val="22"/>
        </w:rPr>
        <w:t>我国灵活就业人员规模已超过2亿人，但这一群体在职工社会保险中却长期处于边缘位置。国家医保局等七部门此前联合印发《关于开展灵活就业人员、农民工、新就业形态人员参加基本医疗保险提质专项行动的通知》，鼓励平台企业对稳定接单人员给予参保支持。进入10月，各地进入政策落地推进阶段。</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中国经济网报道，政策明确灵活就业人员办理职工医保关系转移接续时异地缴费年限可累计计算，破除参保壁垒。多地（如湖南）同步开展“社保服务进万家”，制作业务经办图解、短视频等宣传产品，织密灵活就业人员社保网络。参保扩面与权益保障并进，意味着灵活用工平台的“合规成本”将成为商业模式设计的核心变量。</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灵活用工税务合规红线持续收紧，虚开发票案件屡被查处</w:t>
      </w:r>
    </w:p>
    <w:p>
      <w:pPr>
        <w:spacing w:after="140" w:before="0" w:line="312" w:lineRule="auto"/>
        <w:ind w:left="113"/>
      </w:pPr>
      <w:r>
        <w:rPr>
          <w:rFonts w:ascii="微软雅黑" w:hAnsi="微软雅黑" w:eastAsia="微软雅黑"/>
          <w:b w:val="0"/>
          <w:i w:val="0"/>
          <w:color w:val="202833"/>
          <w:sz w:val="22"/>
        </w:rPr>
        <w:t>随着金税四期全面深化，灵活用工行业告别“野蛮生长”，迈入“以数治税”的强合规时代。近期多地曝出借灵活用工平台虚开发票、帮助企业逃税的案例：有企业将部分在职员工包装成第三方外包公司员工，再通过灵活用工平台以发包劳务方式发放工资，15人被刑拘；北京通州警方亦侦破一起涉案金额1000余万元的虚开发票案。</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业内普遍认为，合规能力正成为灵活用工平台的核心门槛，“四流合一”（业务流、资金流、合同流、发票流完全匹配）成为硬指标。企业在选择平台时应重点核查业务真实性、税务合规性与资金安全，避免以“灵活用工”之名行虚开发票之实。</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灵活用工进入“强合规纪元”：保障立法、社保扩面与税务监管三管齐下，合规能力成为平台与服务机构的生死线，行业集中度有望进一步提升。</w:t>
      </w:r>
    </w:p>
    <w:p>
      <w:pPr>
        <w:spacing w:after="120" w:before="240" w:line="312" w:lineRule="auto"/>
        <w:shd w:val="clear" w:fill="EAF1FB"/>
      </w:pPr>
      <w:r>
        <w:rPr>
          <w:rFonts w:ascii="微软雅黑" w:hAnsi="微软雅黑" w:eastAsia="微软雅黑"/>
          <w:b/>
          <w:i w:val="0"/>
          <w:color w:val="1E4E9C"/>
          <w:sz w:val="30"/>
        </w:rPr>
        <w:t>◆ 投资创业板块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地方政策引导社会资本入局，人力资源赛道产融结合提速</w:t>
      </w:r>
    </w:p>
    <w:p>
      <w:pPr>
        <w:spacing w:after="140" w:before="0" w:line="312" w:lineRule="auto"/>
        <w:ind w:left="113"/>
      </w:pPr>
      <w:r>
        <w:rPr>
          <w:rFonts w:ascii="微软雅黑" w:hAnsi="微软雅黑" w:eastAsia="微软雅黑"/>
          <w:b w:val="0"/>
          <w:i w:val="0"/>
          <w:color w:val="202833"/>
          <w:sz w:val="22"/>
        </w:rPr>
        <w:t>重庆19条举措明确提出，鼓励社会资本设立专项产业基金，投向人力资源与AI融合的早期创新项目，并对优质开源项目最高奖励200万元。政策以“补贴＋基金＋人才培养”组合拳，引导资本关注早期、硬科技与人才服务结合的方向，人力资源赛道的产融结合明显提速。</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方“人才主题基金＋人力资源服务业”联动，正成为国资与产业资本布局的新范式，早期创新项目有望获得更友好的资本环境。</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灵活用工与HR科技赛道资本化进程提速</w:t>
      </w:r>
    </w:p>
    <w:p>
      <w:pPr>
        <w:spacing w:after="140" w:before="0" w:line="312" w:lineRule="auto"/>
        <w:ind w:left="113"/>
      </w:pPr>
      <w:r>
        <w:rPr>
          <w:rFonts w:ascii="微软雅黑" w:hAnsi="微软雅黑" w:eastAsia="微软雅黑"/>
          <w:b w:val="0"/>
          <w:i w:val="0"/>
          <w:color w:val="202833"/>
          <w:sz w:val="22"/>
        </w:rPr>
        <w:t>据36氪报道，AI赋能灵活用工闭环的“小砖块”此前启动1.5亿元C轮融资，B轮投资方含元禾厚望等；杭州灵卡科技已正式向港交所递交主板上市申请，联席保荐人为中金公司和浦银国际，按2025年收入计为中国最大灵活用工平台之一。资本对灵活用工赛道的关注呈现“头部化、合规化”特征。</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细分方向看，AI招聘与人才匹配、灵活用工SaaS、跨境用工与全球薪酬服务持续受资本关注；“AI+HR”成为贯穿国内外投融资的主线，资本逻辑从“流量与规模”转向“技术壁垒与合规能力”。</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人力资源服务机构资本化与业态升级并行</w:t>
      </w:r>
    </w:p>
    <w:p>
      <w:pPr>
        <w:spacing w:after="140" w:before="0" w:line="312" w:lineRule="auto"/>
        <w:ind w:left="113"/>
      </w:pPr>
      <w:r>
        <w:rPr>
          <w:rFonts w:ascii="微软雅黑" w:hAnsi="微软雅黑" w:eastAsia="微软雅黑"/>
          <w:b w:val="0"/>
          <w:i w:val="0"/>
          <w:color w:val="202833"/>
          <w:sz w:val="22"/>
        </w:rPr>
        <w:t>人力资源服务机构在资本市场的动作持续活跃。据新浪财经报道，外服控股10月15日获融资买入594.45万元，融资余额1.75亿元，市场关注其作为集团优质资产整合载体的潜力；北京国际人力集团（品牌FESCO）以全链条人才服务为抓手，深化“新职业”与人才服务生态布局。</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投资于人”的政策导向正逐步转化为产业投资机遇，具备技术壁垒、合规能力与全球化交付能力的服务机构更受资本青睐，中高端人才寻访、灵活用工数字化运营成为机构提升估值的关键业务。</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资本端延续“技术＋合规＋全球化”偏好：AI+HR、灵活用工SaaS、跨境用工服务为主要赛道；地方产业基金与国资入场，进一步激活行业投融资生态。</w:t>
      </w:r>
    </w:p>
    <w:p>
      <w:pPr>
        <w:spacing w:after="120" w:before="240" w:line="312" w:lineRule="auto"/>
        <w:shd w:val="clear" w:fill="EAF1FB"/>
      </w:pPr>
      <w:r>
        <w:rPr>
          <w:rFonts w:ascii="微软雅黑" w:hAnsi="微软雅黑" w:eastAsia="微软雅黑"/>
          <w:b/>
          <w:i w:val="0"/>
          <w:color w:val="1E4E9C"/>
          <w:sz w:val="30"/>
        </w:rPr>
        <w:t>◆ 重点事件深度解读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事件一：湖北三年行动方案——地方“扩能提质”竞赛提速</w:t>
      </w:r>
    </w:p>
    <w:p>
      <w:pPr>
        <w:spacing w:after="140" w:before="0" w:line="312" w:lineRule="auto"/>
        <w:ind w:left="113"/>
      </w:pPr>
      <w:r>
        <w:rPr>
          <w:rFonts w:ascii="微软雅黑" w:hAnsi="微软雅黑" w:eastAsia="微软雅黑"/>
          <w:b w:val="0"/>
          <w:i w:val="0"/>
          <w:color w:val="202833"/>
          <w:sz w:val="22"/>
        </w:rPr>
        <w:t>本周，湖北《加快推进人力资源服务业扩能提质行动方案》正式印发，围绕培育壮大企业梯队、推动转型升级发展、建强用好集聚平台、深化产业就业协同作出系统部署，明确到2028年的目标任务。这是地方层面推动行业“扩能提质”的又一实质性动作。</w:t>
      </w:r>
    </w:p>
    <w:p>
      <w:pPr>
        <w:spacing w:after="140" w:before="0" w:line="312" w:lineRule="auto"/>
        <w:ind w:left="113"/>
      </w:pPr>
      <w:r>
        <w:rPr>
          <w:rFonts w:ascii="微软雅黑" w:hAnsi="微软雅黑" w:eastAsia="微软雅黑"/>
          <w:b w:val="0"/>
          <w:i w:val="0"/>
          <w:color w:val="202833"/>
          <w:sz w:val="22"/>
        </w:rPr>
        <w:t>解读：地方政策的逻辑正在从“招商引资”转向“培育生态”。湖北方案以“企业梯队＋集聚平台＋产业协同”为抓手，强调行业组织形态升级与就业协同，与重庆“算力补贴＋数据集补贴＋中试基地补助”的技术路线形成互补——一个侧重组织与生态，一个侧重技术与要素。对人力资源服务机构而言，能否纳入地方“AI+HR”生态与“扩能提质”体系、拿到算力与数据要素或平台支持，将成为未来几年区域竞争力的关键变量。</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事件二：《新就业形态劳动者权益保障办法》——从“灰色地带”到“制度护航”</w:t>
      </w:r>
    </w:p>
    <w:p>
      <w:pPr>
        <w:spacing w:after="140" w:before="0" w:line="312" w:lineRule="auto"/>
        <w:ind w:left="113"/>
      </w:pPr>
      <w:r>
        <w:rPr>
          <w:rFonts w:ascii="微软雅黑" w:hAnsi="微软雅黑" w:eastAsia="微软雅黑"/>
          <w:b w:val="0"/>
          <w:i w:val="0"/>
          <w:color w:val="202833"/>
          <w:sz w:val="22"/>
        </w:rPr>
        <w:t>征求意见稿共54条，首次以部门联合规章形式，将受企业劳动管理但不完全符合确立劳动关系情形的约8400万平台劳动者纳入保障范围，并建立“责任穿透机制”、明确“算法取中”原则。专家指出，这是我国劳动法律制度适配平台经济的关键一步。</w:t>
      </w:r>
    </w:p>
    <w:p>
      <w:pPr>
        <w:spacing w:after="140" w:before="0" w:line="312" w:lineRule="auto"/>
        <w:ind w:left="113"/>
      </w:pPr>
      <w:r>
        <w:rPr>
          <w:rFonts w:ascii="微软雅黑" w:hAnsi="微软雅黑" w:eastAsia="微软雅黑"/>
          <w:b w:val="0"/>
          <w:i w:val="0"/>
          <w:color w:val="202833"/>
          <w:sz w:val="22"/>
        </w:rPr>
        <w:t>解读：办法的三大突破值得关注——一是“扩面”，通过概念界定将大量处于劳动保障“灰色地带”的从业者纳入制度保护；二是“分类”，按用工事实决定关系属性，符合劳动关系标准的签劳动合同，有劳动管理但不符合的签书面用工协议；三是“压实责任”，禁止诱导注册个体工商户、多层转包等规避手段，并赋予工会与政府部门算法审查权。对灵活用工平台而言，短期合规成本上升，但行业秩序更清晰，长期利好规范经营的企业，行业将加速“良币驱逐劣币”。</w:t>
      </w:r>
    </w:p>
    <w:p>
      <w:pPr>
        <w:spacing w:after="120" w:before="240" w:line="312" w:lineRule="auto"/>
        <w:shd w:val="clear" w:fill="EAF1FB"/>
      </w:pPr>
      <w:r>
        <w:rPr>
          <w:rFonts w:ascii="微软雅黑" w:hAnsi="微软雅黑" w:eastAsia="微软雅黑"/>
          <w:b/>
          <w:i w:val="0"/>
          <w:color w:val="1E4E9C"/>
          <w:sz w:val="30"/>
        </w:rPr>
        <w:t>◆ 趋势研判与风险提示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趋势研判：扩能提质、AI赋能、合规深化三大主线</w:t>
      </w:r>
    </w:p>
    <w:p>
      <w:pPr>
        <w:spacing w:after="140" w:before="0" w:line="312" w:lineRule="auto"/>
        <w:ind w:left="113"/>
      </w:pPr>
      <w:r>
        <w:rPr>
          <w:rFonts w:ascii="微软雅黑" w:hAnsi="微软雅黑" w:eastAsia="微软雅黑"/>
          <w:b w:val="0"/>
          <w:i w:val="0"/>
          <w:color w:val="202833"/>
          <w:sz w:val="22"/>
        </w:rPr>
        <w:t>一是“扩能提质”成为地方政策主线。湖北三年行动方案与重庆19条形成南北呼应，预计将有更多地区跟进，“算力券”“数据集补贴”“集聚平台建设”或成行业新标配。二是AI赋能走向纵深。招聘AI化、HR SaaS一体化、灵活用工数字化持续渗透，“AI+HR”成为贯穿政策与资本的主线。三是合规深化贯穿全产业链。《新就业形态劳动者权益保障办法》叠加招聘信息发布规范、灵活用工税务监管，行业从“规模优先”转向“质量与合规并重”，合规能力成为服务机构的核心资产。</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风险提示：合规、数据与跨境三重约束需重点关注</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需重点关注三类风险：其一，灵活用工与新就业形态的合规风险，“用工责任穿透机制”与算法监管落地后，规避用工责任、粗放税务筹划的操作空间被大幅压缩，借灵活用工虚开发票更面临刑事风险；其二，招聘环节的合规与数据风险，招聘信息“高薪”“面议”等模糊表述、账号资质核验、个人信息保护等要求持续收紧；其三，跨境劳务的法律与权益风险，出国务工纠纷与非法中介问题仍需警惕。相关企业、平台与投资机构应提前做好合规研判与风险预案。</w:t>
      </w:r>
    </w:p>
    <w:p>
      <w:pPr>
        <w:spacing w:after="40"/>
      </w:pPr>
    </w:p>
    <w:p>
      <w:pPr>
        <w:spacing w:after="0" w:line="312" w:lineRule="auto"/>
        <w:shd w:val="clear" w:fill="D62B1F"/>
      </w:pPr>
      <w:r>
        <w:rPr>
          <w:rFonts w:ascii="微软雅黑" w:hAnsi="微软雅黑" w:eastAsia="微软雅黑"/>
          <w:b/>
          <w:i w:val="0"/>
          <w:color w:val="FFFFFF"/>
          <w:sz w:val="23"/>
        </w:rPr>
        <w:t>一句话判断：</w:t>
      </w:r>
    </w:p>
    <w:p>
      <w:pPr>
        <w:spacing w:after="200" w:line="312" w:lineRule="auto"/>
        <w:shd w:val="clear" w:fill="FDEAEA"/>
      </w:pPr>
      <w:r>
        <w:rPr>
          <w:rFonts w:ascii="微软雅黑" w:hAnsi="微软雅黑" w:eastAsia="微软雅黑"/>
          <w:b/>
          <w:i w:val="0"/>
          <w:color w:val="D62B1F"/>
          <w:sz w:val="23"/>
        </w:rPr>
        <w:t>本周行业信号清晰：地方“扩能提质”政策竞赛提速，权益保障立法从“灰色地带”走向“制度护航”。人力资源服务机构既要抢抓算力、数据、平台等政策红利，也要把合规与算法治理内化为核心能力——读懂“扩能提质＋AI赋能＋合规深化”三条主线，方能在新周期中行稳致远。</w:t>
      </w:r>
    </w:p>
    <w:p>
      <w:pPr>
        <w:spacing w:after="40" w:before="0" w:line="312" w:lineRule="auto"/>
        <w:jc w:val="center"/>
      </w:pPr>
      <w:r>
        <w:rPr>
          <w:rFonts w:ascii="微软雅黑" w:hAnsi="微软雅黑" w:eastAsia="微软雅黑"/>
          <w:b w:val="0"/>
          <w:i w:val="0"/>
          <w:color w:val="5C6B7A"/>
          <w:sz w:val="17"/>
        </w:rPr>
        <w:t>—— 本报告由AI自动抓取生成，数据来源为公开信息，仅供参考，不构成任何投资建议 ——</w:t>
      </w:r>
    </w:p>
    <w:p>
      <w:pPr>
        <w:spacing w:after="120" w:before="0" w:line="312" w:lineRule="auto"/>
        <w:jc w:val="center"/>
      </w:pPr>
      <w:r>
        <w:rPr>
          <w:rFonts w:ascii="微软雅黑" w:hAnsi="微软雅黑" w:eastAsia="微软雅黑"/>
          <w:b w:val="0"/>
          <w:i w:val="0"/>
          <w:color w:val="5C6B7A"/>
          <w:sz w:val="17"/>
        </w:rPr>
        <w:t>生成时间：2026-10-17 07:00</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