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before="0" w:line="312" w:lineRule="auto"/>
        <w:jc w:val="center"/>
      </w:pPr>
      <w:r>
        <w:rPr>
          <w:rFonts w:ascii="微软雅黑" w:hAnsi="微软雅黑" w:eastAsia="微软雅黑"/>
          <w:b/>
          <w:i w:val="0"/>
          <w:color w:val="0F2452"/>
          <w:sz w:val="48"/>
        </w:rPr>
        <w:t>人力资源行业新闻周报</w:t>
      </w:r>
    </w:p>
    <w:p>
      <w:pPr>
        <w:spacing w:after="40" w:before="0" w:line="312" w:lineRule="auto"/>
        <w:jc w:val="center"/>
      </w:pPr>
      <w:r>
        <w:rPr>
          <w:rFonts w:ascii="微软雅黑" w:hAnsi="微软雅黑" w:eastAsia="微软雅黑"/>
          <w:b/>
          <w:i w:val="0"/>
          <w:color w:val="1E4E9C"/>
          <w:sz w:val="22"/>
        </w:rPr>
        <w:t>Weekly HR Industry News Report</w:t>
      </w:r>
    </w:p>
    <w:p>
      <w:pPr>
        <w:spacing w:after="200" w:before="0" w:line="312" w:lineRule="auto"/>
        <w:jc w:val="center"/>
      </w:pPr>
      <w:r>
        <w:rPr>
          <w:rFonts w:ascii="微软雅黑" w:hAnsi="微软雅黑" w:eastAsia="微软雅黑"/>
          <w:b w:val="0"/>
          <w:i w:val="0"/>
          <w:color w:val="5C6B7A"/>
          <w:sz w:val="21"/>
        </w:rPr>
        <w:t>报告周期：2026年10月11日 — 10月18日（滚动一周）</w:t>
      </w:r>
    </w:p>
    <w:p>
      <w:pPr>
        <w:spacing w:after="160" w:line="336" w:lineRule="auto"/>
        <w:shd w:val="clear" w:fill="FFF4E6"/>
      </w:pPr>
      <w:r>
        <w:rPr>
          <w:rFonts w:ascii="微软雅黑" w:hAnsi="微软雅黑" w:eastAsia="微软雅黑"/>
          <w:b/>
          <w:i w:val="0"/>
          <w:color w:val="F57C00"/>
          <w:sz w:val="21"/>
        </w:rPr>
        <w:t>本周核心动向：</w:t>
      </w:r>
      <w:r>
        <w:rPr>
          <w:rFonts w:ascii="微软雅黑" w:hAnsi="微软雅黑" w:eastAsia="微软雅黑"/>
          <w:b w:val="0"/>
          <w:i w:val="0"/>
          <w:color w:val="141A26"/>
          <w:sz w:val="21"/>
        </w:rPr>
        <w:t>本周主线从“政策发布”转向“责任落地”。10月16日，人社部、中央网信办、教育部、公安部、国务院国资委五部门联合发布风险提示，剑指冒用央国企名义的“内推”“直签保录”骗局；同日人民日报报道美团、淘宝闪购、滴滴、京东集体回应《新就业形态劳动者权益保障办法（征求意见稿）》，围绕报酬透明、防疲劳、算法治理、职业伤害保障作出具体承诺。智联招聘三季度快报显示养老/看护职位数同比增43.9%登顶；全球HR上市公司TOP10市值一月缩水331亿美元，但9月一级市场融资仍超10亿美元，“估值降温、投入加码”的分化加深。</w:t>
      </w:r>
    </w:p>
    <w:p>
      <w:pPr>
        <w:spacing w:after="80" w:before="120" w:line="312" w:lineRule="auto"/>
      </w:pPr>
      <w:r>
        <w:rPr>
          <w:rFonts w:ascii="微软雅黑" w:hAnsi="微软雅黑" w:eastAsia="微软雅黑"/>
          <w:b/>
          <w:i w:val="0"/>
          <w:color w:val="1E4E9C"/>
          <w:sz w:val="28"/>
        </w:rPr>
        <w:t>◆ 本期速览</w:t>
      </w:r>
    </w:p>
    <w:p>
      <w:pPr>
        <w:spacing w:after="60" w:line="312" w:lineRule="auto"/>
      </w:pPr>
      <w:r>
        <w:rPr>
          <w:rFonts w:ascii="微软雅黑" w:hAnsi="微软雅黑" w:eastAsia="微软雅黑"/>
          <w:b/>
          <w:i w:val="0"/>
          <w:color w:val="F57C00"/>
          <w:sz w:val="21"/>
        </w:rPr>
        <w:t xml:space="preserve">▪ </w:t>
      </w:r>
      <w:r>
        <w:rPr>
          <w:rFonts w:ascii="微软雅黑" w:hAnsi="微软雅黑" w:eastAsia="微软雅黑"/>
          <w:b w:val="0"/>
          <w:i w:val="0"/>
          <w:color w:val="202833"/>
          <w:sz w:val="21"/>
        </w:rPr>
        <w:t>五部门10月16日联合发布风险提示，警惕“央国企内推”“直签保录”骗局</w:t>
      </w:r>
    </w:p>
    <w:p>
      <w:pPr>
        <w:spacing w:after="60" w:line="312" w:lineRule="auto"/>
      </w:pPr>
      <w:r>
        <w:rPr>
          <w:rFonts w:ascii="微软雅黑" w:hAnsi="微软雅黑" w:eastAsia="微软雅黑"/>
          <w:b/>
          <w:i w:val="0"/>
          <w:color w:val="F57C00"/>
          <w:sz w:val="21"/>
        </w:rPr>
        <w:t xml:space="preserve">▪ </w:t>
      </w:r>
      <w:r>
        <w:rPr>
          <w:rFonts w:ascii="微软雅黑" w:hAnsi="微软雅黑" w:eastAsia="微软雅黑"/>
          <w:b w:val="0"/>
          <w:i w:val="0"/>
          <w:color w:val="202833"/>
          <w:sz w:val="21"/>
        </w:rPr>
        <w:t>新就业形态保障办法征求意见至11月8日，美团、淘宝闪购、滴滴、京东集体回应</w:t>
      </w:r>
    </w:p>
    <w:p>
      <w:pPr>
        <w:spacing w:after="60" w:line="312" w:lineRule="auto"/>
      </w:pPr>
      <w:r>
        <w:rPr>
          <w:rFonts w:ascii="微软雅黑" w:hAnsi="微软雅黑" w:eastAsia="微软雅黑"/>
          <w:b/>
          <w:i w:val="0"/>
          <w:color w:val="F57C00"/>
          <w:sz w:val="21"/>
        </w:rPr>
        <w:t xml:space="preserve">▪ </w:t>
      </w:r>
      <w:r>
        <w:rPr>
          <w:rFonts w:ascii="微软雅黑" w:hAnsi="微软雅黑" w:eastAsia="微软雅黑"/>
          <w:b w:val="0"/>
          <w:i w:val="0"/>
          <w:color w:val="202833"/>
          <w:sz w:val="21"/>
        </w:rPr>
        <w:t>智联招聘三季度快报：养老/看护职位数同比增43.9%居首，应届AI工程师月薪17775元</w:t>
      </w:r>
    </w:p>
    <w:p>
      <w:pPr>
        <w:spacing w:after="60" w:line="312" w:lineRule="auto"/>
      </w:pPr>
      <w:r>
        <w:rPr>
          <w:rFonts w:ascii="微软雅黑" w:hAnsi="微软雅黑" w:eastAsia="微软雅黑"/>
          <w:b/>
          <w:i w:val="0"/>
          <w:color w:val="F57C00"/>
          <w:sz w:val="21"/>
        </w:rPr>
        <w:t xml:space="preserve">▪ </w:t>
      </w:r>
      <w:r>
        <w:rPr>
          <w:rFonts w:ascii="微软雅黑" w:hAnsi="微软雅黑" w:eastAsia="微软雅黑"/>
          <w:b w:val="0"/>
          <w:i w:val="0"/>
          <w:color w:val="202833"/>
          <w:sz w:val="21"/>
        </w:rPr>
        <w:t>科锐国际报告：AI相关招聘职位较2024年同期增长约119%</w:t>
      </w:r>
    </w:p>
    <w:p>
      <w:pPr>
        <w:spacing w:after="60" w:line="312" w:lineRule="auto"/>
      </w:pPr>
      <w:r>
        <w:rPr>
          <w:rFonts w:ascii="微软雅黑" w:hAnsi="微软雅黑" w:eastAsia="微软雅黑"/>
          <w:b/>
          <w:i w:val="0"/>
          <w:color w:val="F57C00"/>
          <w:sz w:val="21"/>
        </w:rPr>
        <w:t xml:space="preserve">▪ </w:t>
      </w:r>
      <w:r>
        <w:rPr>
          <w:rFonts w:ascii="微软雅黑" w:hAnsi="微软雅黑" w:eastAsia="微软雅黑"/>
          <w:b w:val="0"/>
          <w:i w:val="0"/>
          <w:color w:val="202833"/>
          <w:sz w:val="21"/>
        </w:rPr>
        <w:t>商务部就《对外承包工程管理条例（修订草案）》征求意见，1—8月外派劳务31.5万人</w:t>
      </w:r>
    </w:p>
    <w:p>
      <w:pPr>
        <w:spacing w:after="60" w:line="312" w:lineRule="auto"/>
      </w:pPr>
      <w:r>
        <w:rPr>
          <w:rFonts w:ascii="微软雅黑" w:hAnsi="微软雅黑" w:eastAsia="微软雅黑"/>
          <w:b/>
          <w:i w:val="0"/>
          <w:color w:val="F57C00"/>
          <w:sz w:val="21"/>
        </w:rPr>
        <w:t xml:space="preserve">▪ </w:t>
      </w:r>
      <w:r>
        <w:rPr>
          <w:rFonts w:ascii="微软雅黑" w:hAnsi="微软雅黑" w:eastAsia="微软雅黑"/>
          <w:b w:val="0"/>
          <w:i w:val="0"/>
          <w:color w:val="202833"/>
          <w:sz w:val="21"/>
        </w:rPr>
        <w:t>全球HR上市公司TOP10市值一月缩水331亿美元，9月HR科技融资仍超10亿美元</w:t>
      </w:r>
    </w:p>
    <w:p>
      <w:pPr>
        <w:spacing w:after="120" w:before="240" w:line="312" w:lineRule="auto"/>
        <w:shd w:val="clear" w:fill="EAF1FB"/>
      </w:pPr>
      <w:r>
        <w:rPr>
          <w:rFonts w:ascii="微软雅黑" w:hAnsi="微软雅黑" w:eastAsia="微软雅黑"/>
          <w:b/>
          <w:i w:val="0"/>
          <w:color w:val="1E4E9C"/>
          <w:sz w:val="30"/>
        </w:rPr>
        <w:t>◆ 行业要闻速览</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1. 五部门联合发布风险提示，严打“央国企内推”骗局</w:t>
      </w:r>
    </w:p>
    <w:p>
      <w:pPr>
        <w:spacing w:after="140" w:before="0" w:line="312" w:lineRule="auto"/>
        <w:ind w:left="113"/>
      </w:pPr>
      <w:r>
        <w:rPr>
          <w:rFonts w:ascii="微软雅黑" w:hAnsi="微软雅黑" w:eastAsia="微软雅黑"/>
          <w:b w:val="0"/>
          <w:i w:val="0"/>
          <w:color w:val="202833"/>
          <w:sz w:val="22"/>
        </w:rPr>
        <w:t>人社部10月16日消息，人社部、中央网信办、教育部、公安部、国务院国资委五部门联合发布风险提示：当前正值求职旺季，一些不法分子冒用央国企名义发布虚假招聘信息，以“内部推荐”“直签保录”为幌子，甚至伪造录用材料诱导付费，严重扰乱人力资源市场秩序。</w:t>
      </w:r>
    </w:p>
    <w:p>
      <w:pPr>
        <w:spacing w:after="140" w:line="312" w:lineRule="auto"/>
        <w:shd w:val="clear" w:fill="FFF4E6"/>
      </w:pPr>
      <w:r>
        <w:rPr>
          <w:rFonts w:ascii="微软雅黑" w:hAnsi="微软雅黑" w:eastAsia="微软雅黑"/>
          <w:b/>
          <w:i w:val="0"/>
          <w:color w:val="F57C00"/>
          <w:sz w:val="22"/>
        </w:rPr>
        <w:t>【重点】</w:t>
      </w:r>
      <w:r>
        <w:rPr>
          <w:rFonts w:ascii="微软雅黑" w:hAnsi="微软雅黑" w:eastAsia="微软雅黑"/>
          <w:b w:val="0"/>
          <w:i w:val="0"/>
          <w:color w:val="202833"/>
          <w:sz w:val="22"/>
        </w:rPr>
        <w:t xml:space="preserve">  </w:t>
      </w:r>
      <w:r>
        <w:rPr>
          <w:rFonts w:ascii="微软雅黑" w:hAnsi="微软雅黑" w:eastAsia="微软雅黑"/>
          <w:b w:val="0"/>
          <w:i w:val="0"/>
          <w:color w:val="202833"/>
          <w:sz w:val="22"/>
        </w:rPr>
        <w:t>示拆解“三步走”套路：冒名引流、制造“内部名额”稀缺感、以“付费内推”收费；并给出双向核查路径——通过“就业在线”“国资央企招聘平台”查权威岗位，通过全国人社政务服务平台、电子社保卡核验中介资质。招聘信息核验正从“平台自律”走向“部门协同＋工具化查验”。</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2. 人社部“十五五”施工图落地，1—9月城镇新增就业1052万人</w:t>
      </w:r>
    </w:p>
    <w:p>
      <w:pPr>
        <w:spacing w:after="140" w:before="0" w:line="312" w:lineRule="auto"/>
        <w:ind w:left="113"/>
      </w:pPr>
      <w:r>
        <w:rPr>
          <w:rFonts w:ascii="微软雅黑" w:hAnsi="微软雅黑" w:eastAsia="微软雅黑"/>
          <w:b w:val="0"/>
          <w:i w:val="0"/>
          <w:color w:val="202833"/>
          <w:sz w:val="22"/>
        </w:rPr>
        <w:t>10月10日国新办发布会数据本周持续发酵：1—9月城镇新增就业1052万人、完成全年目标87.7%，前8个月城镇调查失业率均值5.2%；截至9月底三项社保参保人数分别达10.79亿、2.51亿、3.27亿人，基金累计结余11.2万亿元。</w:t>
      </w:r>
    </w:p>
    <w:p>
      <w:pPr>
        <w:spacing w:after="140" w:line="312" w:lineRule="auto"/>
        <w:shd w:val="clear" w:fill="FFF4E6"/>
      </w:pPr>
      <w:r>
        <w:rPr>
          <w:rFonts w:ascii="微软雅黑" w:hAnsi="微软雅黑" w:eastAsia="微软雅黑"/>
          <w:b/>
          <w:i w:val="0"/>
          <w:color w:val="F57C00"/>
          <w:sz w:val="22"/>
        </w:rPr>
        <w:t>【重点】</w:t>
      </w:r>
      <w:r>
        <w:rPr>
          <w:rFonts w:ascii="微软雅黑" w:hAnsi="微软雅黑" w:eastAsia="微软雅黑"/>
          <w:b w:val="0"/>
          <w:i w:val="0"/>
          <w:color w:val="202833"/>
          <w:sz w:val="22"/>
        </w:rPr>
        <w:t xml:space="preserve">  </w:t>
      </w:r>
      <w:r>
        <w:rPr>
          <w:rFonts w:ascii="微软雅黑" w:hAnsi="微软雅黑" w:eastAsia="微软雅黑"/>
          <w:b w:val="0"/>
          <w:i w:val="0"/>
          <w:color w:val="202833"/>
          <w:sz w:val="22"/>
        </w:rPr>
        <w:t>策框架为“2个计划、5项行动、4方面制度机制”，其中“人力资源服务+”融合发展行动首次单列，为人服机构嵌入制造业、服务业产业链提供政策入口。</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3. 2026年“社保服务进万家”启动，灵活就业群体参保服务前移</w:t>
      </w:r>
    </w:p>
    <w:p>
      <w:pPr>
        <w:spacing w:after="140" w:before="0" w:line="312" w:lineRule="auto"/>
        <w:ind w:left="113"/>
      </w:pPr>
      <w:r>
        <w:rPr>
          <w:rFonts w:ascii="微软雅黑" w:hAnsi="微软雅黑" w:eastAsia="微软雅黑"/>
          <w:b w:val="0"/>
          <w:i w:val="0"/>
          <w:color w:val="202833"/>
          <w:sz w:val="22"/>
        </w:rPr>
        <w:t>10月14日，2026年“社保服务进万家”主场活动在青岛举办，10月14日至20日全国同步开展，围绕精准扩面、暖心服务、社保故事、基金安全四条主线推进，推动服务窗口前移。</w:t>
      </w:r>
    </w:p>
    <w:p>
      <w:pPr>
        <w:spacing w:after="140" w:line="312" w:lineRule="auto"/>
        <w:shd w:val="clear" w:fill="FFF4E6"/>
      </w:pPr>
      <w:r>
        <w:rPr>
          <w:rFonts w:ascii="微软雅黑" w:hAnsi="微软雅黑" w:eastAsia="微软雅黑"/>
          <w:b/>
          <w:i w:val="0"/>
          <w:color w:val="F57C00"/>
          <w:sz w:val="22"/>
        </w:rPr>
        <w:t>【重点】</w:t>
      </w:r>
      <w:r>
        <w:rPr>
          <w:rFonts w:ascii="微软雅黑" w:hAnsi="微软雅黑" w:eastAsia="微软雅黑"/>
          <w:b w:val="0"/>
          <w:i w:val="0"/>
          <w:color w:val="202833"/>
          <w:sz w:val="22"/>
        </w:rPr>
        <w:t xml:space="preserve">  </w:t>
      </w:r>
      <w:r>
        <w:rPr>
          <w:rFonts w:ascii="微软雅黑" w:hAnsi="微软雅黑" w:eastAsia="微软雅黑"/>
          <w:b w:val="0"/>
          <w:i w:val="0"/>
          <w:color w:val="202833"/>
          <w:sz w:val="22"/>
        </w:rPr>
        <w:t>年明确聚焦重点群体推送参保政策与服务指导。结合“十五五”提出的“鼓励灵活就业人员、新就业形态人员参加职工养老保险，建立用工方、平台企业、劳动者共同筹资、合理分担的参保机制”，社保经办“找人”能力正成为地方考核项，也为社保代理与薪酬外包服务商打开合规化空间。</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4. 职业教育两份文件同日落地，技能供给端加速对接产业</w:t>
      </w:r>
    </w:p>
    <w:p>
      <w:pPr>
        <w:spacing w:after="140" w:before="0" w:line="312" w:lineRule="auto"/>
        <w:ind w:left="113"/>
      </w:pPr>
      <w:r>
        <w:rPr>
          <w:rFonts w:ascii="微软雅黑" w:hAnsi="微软雅黑" w:eastAsia="微软雅黑"/>
          <w:b w:val="0"/>
          <w:i w:val="0"/>
          <w:color w:val="202833"/>
          <w:sz w:val="22"/>
        </w:rPr>
        <w:t>10月17日，2026年世界职业技术教育发展大会在天津闭幕，《中国职业教育白皮书》发布：全国职业院校超1万所、在校生超3000万人，年均输出近千万名技能人才，现代制造业与战略性新兴产业新增一线人员70%以上来自职业院校；同日《职业教育助力服务业扩能提质行动工作方案》发布，把“智能化”列为重要抓手。</w:t>
      </w:r>
    </w:p>
    <w:p>
      <w:pPr>
        <w:spacing w:after="140" w:line="312" w:lineRule="auto"/>
        <w:shd w:val="clear" w:fill="FFF4E6"/>
      </w:pPr>
      <w:r>
        <w:rPr>
          <w:rFonts w:ascii="微软雅黑" w:hAnsi="微软雅黑" w:eastAsia="微软雅黑"/>
          <w:b/>
          <w:i w:val="0"/>
          <w:color w:val="F57C00"/>
          <w:sz w:val="22"/>
        </w:rPr>
        <w:t>【重点】</w:t>
      </w:r>
      <w:r>
        <w:rPr>
          <w:rFonts w:ascii="微软雅黑" w:hAnsi="微软雅黑" w:eastAsia="微软雅黑"/>
          <w:b w:val="0"/>
          <w:i w:val="0"/>
          <w:color w:val="202833"/>
          <w:sz w:val="22"/>
        </w:rPr>
        <w:t xml:space="preserve">  </w:t>
      </w:r>
      <w:r>
        <w:rPr>
          <w:rFonts w:ascii="微软雅黑" w:hAnsi="微软雅黑" w:eastAsia="微软雅黑"/>
          <w:b w:val="0"/>
          <w:i w:val="0"/>
          <w:color w:val="202833"/>
          <w:sz w:val="22"/>
        </w:rPr>
        <w:t>培训—评价—就业—薪酬”闭环的政策基础更实：一头是千万级技能人才供给，一头是养老、家政等用工缺口，谁能把技能培训与岗位交付打通，谁就能在“人力资源服务+”融合发展中拿到增量。</w:t>
      </w:r>
    </w:p>
    <w:p>
      <w:pPr>
        <w:spacing w:after="200" w:line="312" w:lineRule="auto"/>
        <w:ind w:left="113"/>
        <w:shd w:val="clear" w:fill="EAF1FB"/>
      </w:pPr>
      <w:r>
        <w:rPr>
          <w:rFonts w:ascii="微软雅黑" w:hAnsi="微软雅黑" w:eastAsia="微软雅黑"/>
          <w:b/>
          <w:i w:val="0"/>
          <w:color w:val="F57C00"/>
          <w:sz w:val="22"/>
        </w:rPr>
        <w:t>判断：</w:t>
      </w:r>
      <w:r>
        <w:rPr>
          <w:rFonts w:ascii="微软雅黑" w:hAnsi="微软雅黑" w:eastAsia="微软雅黑"/>
          <w:b w:val="0"/>
          <w:i w:val="0"/>
          <w:color w:val="202833"/>
          <w:sz w:val="22"/>
        </w:rPr>
        <w:t>监管重心正从“管机构”转向“管链条”，从“发文件”转向“查落地”。</w:t>
      </w:r>
    </w:p>
    <w:p>
      <w:pPr>
        <w:spacing w:after="120" w:before="240" w:line="312" w:lineRule="auto"/>
        <w:shd w:val="clear" w:fill="EAF1FB"/>
      </w:pPr>
      <w:r>
        <w:rPr>
          <w:rFonts w:ascii="微软雅黑" w:hAnsi="微软雅黑" w:eastAsia="微软雅黑"/>
          <w:b/>
          <w:i w:val="0"/>
          <w:color w:val="1E4E9C"/>
          <w:sz w:val="30"/>
        </w:rPr>
        <w:t>◆ 在线招聘板块</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智联招聘：三季度快报出炉，养老/看护职位增速43.9%登顶</w:t>
      </w:r>
    </w:p>
    <w:p>
      <w:pPr>
        <w:spacing w:after="140" w:before="0" w:line="312" w:lineRule="auto"/>
        <w:ind w:left="113"/>
      </w:pPr>
      <w:r>
        <w:rPr>
          <w:rFonts w:ascii="微软雅黑" w:hAnsi="微软雅黑" w:eastAsia="微软雅黑"/>
          <w:b w:val="0"/>
          <w:i w:val="0"/>
          <w:color w:val="202833"/>
          <w:sz w:val="22"/>
        </w:rPr>
        <w:t>10月12日至13日，智联招聘《2026年三季度人才市场热点快报》密集见诸报端：养老/看护行业以43.9%的职位数同比增速居首，远超第二位新材料行业的14.8%；应届生人工智能工程师职位数同比增长36.9%，平均招聘月薪17775元。</w:t>
      </w:r>
    </w:p>
    <w:p>
      <w:pPr>
        <w:spacing w:after="140" w:line="312" w:lineRule="auto"/>
        <w:shd w:val="clear" w:fill="FFF4E6"/>
      </w:pPr>
      <w:r>
        <w:rPr>
          <w:rFonts w:ascii="微软雅黑" w:hAnsi="微软雅黑" w:eastAsia="微软雅黑"/>
          <w:b/>
          <w:i w:val="0"/>
          <w:color w:val="F57C00"/>
          <w:sz w:val="22"/>
        </w:rPr>
        <w:t>【重点】</w:t>
      </w:r>
      <w:r>
        <w:rPr>
          <w:rFonts w:ascii="微软雅黑" w:hAnsi="微软雅黑" w:eastAsia="微软雅黑"/>
          <w:b w:val="0"/>
          <w:i w:val="0"/>
          <w:color w:val="202833"/>
          <w:sz w:val="22"/>
        </w:rPr>
        <w:t xml:space="preserve">  </w:t>
      </w:r>
      <w:r>
        <w:rPr>
          <w:rFonts w:ascii="微软雅黑" w:hAnsi="微软雅黑" w:eastAsia="微软雅黑"/>
          <w:b w:val="0"/>
          <w:i w:val="0"/>
          <w:color w:val="202833"/>
          <w:sz w:val="22"/>
        </w:rPr>
        <w:t>老/看护登顶源于老龄化带来的刚性需求释放，供给端却长期“招不到、留不住、不专业”。平台增量正从“白领流量”转向“蓝领＋照护”这类高频、区域化、强履约岗位，产品重心需从“信息匹配”转向“资格核验＋到岗保障”。</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BOSS直聘：中概股逆势涨2.26%，AI入口博弈中守住权限边界</w:t>
      </w:r>
    </w:p>
    <w:p>
      <w:pPr>
        <w:spacing w:after="140" w:before="0" w:line="312" w:lineRule="auto"/>
        <w:ind w:left="113"/>
      </w:pPr>
      <w:r>
        <w:rPr>
          <w:rFonts w:ascii="微软雅黑" w:hAnsi="微软雅黑" w:eastAsia="微软雅黑"/>
          <w:b w:val="0"/>
          <w:i w:val="0"/>
          <w:color w:val="202833"/>
          <w:sz w:val="22"/>
        </w:rPr>
        <w:t>10月17日美股三大指数全线收跌、纳指跌超2%，热门中概股多数下跌，BOSS直聘逆势上涨2.26%。此前10月14日至15日，约150款应用拒绝授予豆包手机助手屏幕自动化权限，BOSS直聘与微信、淘宝、小红书、滴滴同列，理由是GUI模拟点击可能带来账号安全与数据合规风险。</w:t>
      </w:r>
    </w:p>
    <w:p>
      <w:pPr>
        <w:spacing w:after="140" w:line="312" w:lineRule="auto"/>
        <w:shd w:val="clear" w:fill="FFF4E6"/>
      </w:pPr>
      <w:r>
        <w:rPr>
          <w:rFonts w:ascii="微软雅黑" w:hAnsi="微软雅黑" w:eastAsia="微软雅黑"/>
          <w:b/>
          <w:i w:val="0"/>
          <w:color w:val="F57C00"/>
          <w:sz w:val="22"/>
        </w:rPr>
        <w:t>【重点】</w:t>
      </w:r>
      <w:r>
        <w:rPr>
          <w:rFonts w:ascii="微软雅黑" w:hAnsi="微软雅黑" w:eastAsia="微软雅黑"/>
          <w:b w:val="0"/>
          <w:i w:val="0"/>
          <w:color w:val="202833"/>
          <w:sz w:val="22"/>
        </w:rPr>
        <w:t xml:space="preserve">  </w:t>
      </w:r>
      <w:r>
        <w:rPr>
          <w:rFonts w:ascii="微软雅黑" w:hAnsi="微软雅黑" w:eastAsia="微软雅黑"/>
          <w:b w:val="0"/>
          <w:i w:val="0"/>
          <w:color w:val="202833"/>
          <w:sz w:val="22"/>
        </w:rPr>
        <w:t>值修复与入口防守指向同一件事：平台核心资产是“账号＋简历＋沟通关系链”，任何绕过规则的外部自动化都在侵蚀数据资产。AI Agent重构流量入口的窗口期，护城河不再是职位量，而是“可信身份＋合规数据＋闭环沟通”。</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前程无忧：2026年度典范雇主榜单发布，121家企业入选</w:t>
      </w:r>
    </w:p>
    <w:p>
      <w:pPr>
        <w:spacing w:after="140" w:before="0" w:line="312" w:lineRule="auto"/>
        <w:ind w:left="113"/>
      </w:pPr>
      <w:r>
        <w:rPr>
          <w:rFonts w:ascii="微软雅黑" w:hAnsi="微软雅黑" w:eastAsia="微软雅黑"/>
          <w:b w:val="0"/>
          <w:i w:val="0"/>
          <w:color w:val="202833"/>
          <w:sz w:val="22"/>
        </w:rPr>
        <w:t>10月12日，前程无忧51job“2026年度典范雇主”榜单发布，121家企业入选，其中84家蝉联，超五成为2026年《财富》世界500强。榜单以AI、人才与组织连接为三大关键词。</w:t>
      </w:r>
    </w:p>
    <w:p>
      <w:pPr>
        <w:spacing w:after="140" w:line="312" w:lineRule="auto"/>
        <w:shd w:val="clear" w:fill="FFF4E6"/>
      </w:pPr>
      <w:r>
        <w:rPr>
          <w:rFonts w:ascii="微软雅黑" w:hAnsi="微软雅黑" w:eastAsia="微软雅黑"/>
          <w:b/>
          <w:i w:val="0"/>
          <w:color w:val="F57C00"/>
          <w:sz w:val="22"/>
        </w:rPr>
        <w:t>【重点】</w:t>
      </w:r>
      <w:r>
        <w:rPr>
          <w:rFonts w:ascii="微软雅黑" w:hAnsi="微软雅黑" w:eastAsia="微软雅黑"/>
          <w:b w:val="0"/>
          <w:i w:val="0"/>
          <w:color w:val="202833"/>
          <w:sz w:val="22"/>
        </w:rPr>
        <w:t xml:space="preserve">  </w:t>
      </w:r>
      <w:r>
        <w:rPr>
          <w:rFonts w:ascii="微软雅黑" w:hAnsi="微软雅黑" w:eastAsia="微软雅黑"/>
          <w:b w:val="0"/>
          <w:i w:val="0"/>
          <w:color w:val="202833"/>
          <w:sz w:val="22"/>
        </w:rPr>
        <w:t>主品牌评价正从“薪酬福利”单维转向“技术赋能＋人才发展＋组织韧性”多维：是否用AI提升员工体验、是否建立人机协作能力标准，成为新加分项。这也是平台从“卖流量”转向“卖品牌资产”的抓手。</w:t>
      </w:r>
    </w:p>
    <w:p>
      <w:pPr>
        <w:spacing w:after="200" w:line="312" w:lineRule="auto"/>
        <w:ind w:left="113"/>
        <w:shd w:val="clear" w:fill="EAF1FB"/>
      </w:pPr>
      <w:r>
        <w:rPr>
          <w:rFonts w:ascii="微软雅黑" w:hAnsi="微软雅黑" w:eastAsia="微软雅黑"/>
          <w:b/>
          <w:i w:val="0"/>
          <w:color w:val="F57C00"/>
          <w:sz w:val="22"/>
        </w:rPr>
        <w:t>判断：</w:t>
      </w:r>
      <w:r>
        <w:rPr>
          <w:rFonts w:ascii="微软雅黑" w:hAnsi="微软雅黑" w:eastAsia="微软雅黑"/>
          <w:b w:val="0"/>
          <w:i w:val="0"/>
          <w:color w:val="202833"/>
          <w:sz w:val="22"/>
        </w:rPr>
        <w:t>结构性增量出现在养老照护、蓝领与AI技术岗，平台竞争焦点已从“职位数量”转向“数据可信度、履约能力与AI入口控制权”。</w:t>
      </w:r>
    </w:p>
    <w:p>
      <w:pPr>
        <w:spacing w:after="120" w:before="240" w:line="312" w:lineRule="auto"/>
        <w:shd w:val="clear" w:fill="EAF1FB"/>
      </w:pPr>
      <w:r>
        <w:rPr>
          <w:rFonts w:ascii="微软雅黑" w:hAnsi="微软雅黑" w:eastAsia="微软雅黑"/>
          <w:b/>
          <w:i w:val="0"/>
          <w:color w:val="1E4E9C"/>
          <w:sz w:val="30"/>
        </w:rPr>
        <w:t>◆ 出国劳务板块</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对外劳务合作回暖：1—8月派出劳务人员31.5万人，同比增4.4万人</w:t>
      </w:r>
    </w:p>
    <w:p>
      <w:pPr>
        <w:spacing w:after="140" w:before="0" w:line="312" w:lineRule="auto"/>
        <w:ind w:left="113"/>
      </w:pPr>
      <w:r>
        <w:rPr>
          <w:rFonts w:ascii="微软雅黑" w:hAnsi="微软雅黑" w:eastAsia="微软雅黑"/>
          <w:b w:val="0"/>
          <w:i w:val="0"/>
          <w:color w:val="202833"/>
          <w:sz w:val="22"/>
        </w:rPr>
        <w:t>据商务部对外投资和经济合作司统计，2026年1—8月我国企业共向境外派出各类劳务人员31.5万人，较上年同期增加4.4万人；其中承包工程项下9.2万人、劳务合作项下22.3万人；8月末在外各类劳务人员68.1万人。</w:t>
      </w:r>
    </w:p>
    <w:p>
      <w:pPr>
        <w:spacing w:after="140" w:line="312" w:lineRule="auto"/>
        <w:shd w:val="clear" w:fill="FFF4E6"/>
      </w:pPr>
      <w:r>
        <w:rPr>
          <w:rFonts w:ascii="微软雅黑" w:hAnsi="微软雅黑" w:eastAsia="微软雅黑"/>
          <w:b/>
          <w:i w:val="0"/>
          <w:color w:val="F57C00"/>
          <w:sz w:val="22"/>
        </w:rPr>
        <w:t>【重点】</w:t>
      </w:r>
      <w:r>
        <w:rPr>
          <w:rFonts w:ascii="微软雅黑" w:hAnsi="微软雅黑" w:eastAsia="微软雅黑"/>
          <w:b w:val="0"/>
          <w:i w:val="0"/>
          <w:color w:val="202833"/>
          <w:sz w:val="22"/>
        </w:rPr>
        <w:t xml:space="preserve">  </w:t>
      </w:r>
      <w:r>
        <w:rPr>
          <w:rFonts w:ascii="微软雅黑" w:hAnsi="微软雅黑" w:eastAsia="微软雅黑"/>
          <w:b w:val="0"/>
          <w:i w:val="0"/>
          <w:color w:val="202833"/>
          <w:sz w:val="22"/>
        </w:rPr>
        <w:t>务合作项下已明显超过承包工程项下，外派结构正从“跟着工程走”转向“跟着产业与服务走”，制造业产线、护理照护、餐饮酒店、物流仓储岗位占比提升。机构能力需从“招工—送工”升级为“语言培训＋技能认证＋境外落地＋权益跟踪”。</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商务部就《对外承包工程管理条例（修订草案）》征求意见</w:t>
      </w:r>
    </w:p>
    <w:p>
      <w:pPr>
        <w:spacing w:after="140" w:before="0" w:line="312" w:lineRule="auto"/>
        <w:ind w:left="113"/>
      </w:pPr>
      <w:r>
        <w:rPr>
          <w:rFonts w:ascii="微软雅黑" w:hAnsi="微软雅黑" w:eastAsia="微软雅黑"/>
          <w:b w:val="0"/>
          <w:i w:val="0"/>
          <w:color w:val="202833"/>
          <w:sz w:val="22"/>
        </w:rPr>
        <w:t>10月10日，商务部就《对外承包工程管理条例（修订草案）》公开征求意见，反馈截止11月9日，目的是完善对外承包工程管理，引导实力强、信誉好的企业有序出海。</w:t>
      </w:r>
    </w:p>
    <w:p>
      <w:pPr>
        <w:spacing w:after="140" w:line="312" w:lineRule="auto"/>
        <w:shd w:val="clear" w:fill="FFF4E6"/>
      </w:pPr>
      <w:r>
        <w:rPr>
          <w:rFonts w:ascii="微软雅黑" w:hAnsi="微软雅黑" w:eastAsia="微软雅黑"/>
          <w:b/>
          <w:i w:val="0"/>
          <w:color w:val="F57C00"/>
          <w:sz w:val="22"/>
        </w:rPr>
        <w:t>【重点】</w:t>
      </w:r>
      <w:r>
        <w:rPr>
          <w:rFonts w:ascii="微软雅黑" w:hAnsi="微软雅黑" w:eastAsia="微软雅黑"/>
          <w:b w:val="0"/>
          <w:i w:val="0"/>
          <w:color w:val="202833"/>
          <w:sz w:val="22"/>
        </w:rPr>
        <w:t xml:space="preserve">  </w:t>
      </w:r>
      <w:r>
        <w:rPr>
          <w:rFonts w:ascii="微软雅黑" w:hAnsi="微软雅黑" w:eastAsia="微软雅黑"/>
          <w:b w:val="0"/>
          <w:i w:val="0"/>
          <w:color w:val="202833"/>
          <w:sz w:val="22"/>
        </w:rPr>
        <w:t>程项下外派人员的管理、培训、权益保障与突发事件处置历来是纠纷高发环节。此次修订释放“扶优限劣”信号：资质与信用门槛提高、事中事后监管强化，靠“挂靠资质”“层层转包”生存的中小机构面临出清。</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“中企出海”升温，跨境用工服务成广交会高频议题</w:t>
      </w:r>
    </w:p>
    <w:p>
      <w:pPr>
        <w:spacing w:after="140" w:before="0" w:line="312" w:lineRule="auto"/>
        <w:ind w:left="113"/>
      </w:pPr>
      <w:r>
        <w:rPr>
          <w:rFonts w:ascii="微软雅黑" w:hAnsi="微软雅黑" w:eastAsia="微软雅黑"/>
          <w:b w:val="0"/>
          <w:i w:val="0"/>
          <w:color w:val="202833"/>
          <w:sz w:val="22"/>
        </w:rPr>
        <w:t>第140届广交会10月15日开幕，展区首次实现十大类生产性服务业全覆盖，238家服务机构入驻；2026珠江国际贸易论坛同期举行，聚焦“中国企业出海新赛道”，与会嘉宾提出AI时代正催生“原生全球化”模式。</w:t>
      </w:r>
    </w:p>
    <w:p>
      <w:pPr>
        <w:spacing w:after="140" w:line="312" w:lineRule="auto"/>
        <w:shd w:val="clear" w:fill="FFF4E6"/>
      </w:pPr>
      <w:r>
        <w:rPr>
          <w:rFonts w:ascii="微软雅黑" w:hAnsi="微软雅黑" w:eastAsia="微软雅黑"/>
          <w:b/>
          <w:i w:val="0"/>
          <w:color w:val="F57C00"/>
          <w:sz w:val="22"/>
        </w:rPr>
        <w:t>【重点】</w:t>
      </w:r>
      <w:r>
        <w:rPr>
          <w:rFonts w:ascii="微软雅黑" w:hAnsi="微软雅黑" w:eastAsia="微软雅黑"/>
          <w:b w:val="0"/>
          <w:i w:val="0"/>
          <w:color w:val="202833"/>
          <w:sz w:val="22"/>
        </w:rPr>
        <w:t xml:space="preserve">  </w:t>
      </w:r>
      <w:r>
        <w:rPr>
          <w:rFonts w:ascii="微软雅黑" w:hAnsi="微软雅黑" w:eastAsia="微软雅黑"/>
          <w:b w:val="0"/>
          <w:i w:val="0"/>
          <w:color w:val="202833"/>
          <w:sz w:val="22"/>
        </w:rPr>
        <w:t>业痛点已从“拿订单”变成“落地执行”：本地招聘、薪酬发放、社保个税合规、外派签证与用工风险，为跨境EOR、全球薪酬、出海人才寻访创造确定性需求。叠加我国拟增列40项禁限出口技术，“技术管制＋用工合规”双重约束下，合规咨询应从增值项变为标配。</w:t>
      </w:r>
    </w:p>
    <w:p>
      <w:pPr>
        <w:spacing w:after="200" w:line="312" w:lineRule="auto"/>
        <w:ind w:left="113"/>
        <w:shd w:val="clear" w:fill="EAF1FB"/>
      </w:pPr>
      <w:r>
        <w:rPr>
          <w:rFonts w:ascii="微软雅黑" w:hAnsi="微软雅黑" w:eastAsia="微软雅黑"/>
          <w:b/>
          <w:i w:val="0"/>
          <w:color w:val="F57C00"/>
          <w:sz w:val="22"/>
        </w:rPr>
        <w:t>判断：</w:t>
      </w:r>
      <w:r>
        <w:rPr>
          <w:rFonts w:ascii="微软雅黑" w:hAnsi="微软雅黑" w:eastAsia="微软雅黑"/>
          <w:b w:val="0"/>
          <w:i w:val="0"/>
          <w:color w:val="202833"/>
          <w:sz w:val="22"/>
        </w:rPr>
        <w:t>出国劳务正从“工程带动型”向“产业服务型”迁移，机构竞争力将从“渠道资源”转为“跨境合规交付能力”。</w:t>
      </w:r>
    </w:p>
    <w:p>
      <w:pPr>
        <w:spacing w:after="120" w:before="240" w:line="312" w:lineRule="auto"/>
        <w:shd w:val="clear" w:fill="EAF1FB"/>
      </w:pPr>
      <w:r>
        <w:rPr>
          <w:rFonts w:ascii="微软雅黑" w:hAnsi="微软雅黑" w:eastAsia="微软雅黑"/>
          <w:b/>
          <w:i w:val="0"/>
          <w:color w:val="1E4E9C"/>
          <w:sz w:val="30"/>
        </w:rPr>
        <w:t>◆ 灵活用工板块</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头部平台集体回应新规：报酬透明、防疲劳、算法治理进入“施工期”</w:t>
      </w:r>
    </w:p>
    <w:p>
      <w:pPr>
        <w:spacing w:after="140" w:before="0" w:line="312" w:lineRule="auto"/>
        <w:ind w:left="113"/>
      </w:pPr>
      <w:r>
        <w:rPr>
          <w:rFonts w:ascii="微软雅黑" w:hAnsi="微软雅黑" w:eastAsia="微软雅黑"/>
          <w:b w:val="0"/>
          <w:i w:val="0"/>
          <w:color w:val="202833"/>
          <w:sz w:val="22"/>
        </w:rPr>
        <w:t>10月16日，人民日报报道《多家平台企业完善新就业形态劳动者权益保障》。美团表示每月为超百万名骑手准时足额发放报酬，在App展示收入及配送费、补贴、奖励明细，并自今年4月起推行4小时提醒、8小时弹窗、12小时强制下线的防疲劳机制；淘宝闪购7月起在10多个城市上线“等灯不计时”，建立骑手协商代表体系与“权益恳谈会”；滴滴落实职业伤害保障试点扩围；京东联合广东、四川发起现代骑手学院、家政学院。</w:t>
      </w:r>
    </w:p>
    <w:p>
      <w:pPr>
        <w:spacing w:after="140" w:line="312" w:lineRule="auto"/>
        <w:shd w:val="clear" w:fill="FFF4E6"/>
      </w:pPr>
      <w:r>
        <w:rPr>
          <w:rFonts w:ascii="微软雅黑" w:hAnsi="微软雅黑" w:eastAsia="微软雅黑"/>
          <w:b/>
          <w:i w:val="0"/>
          <w:color w:val="F57C00"/>
          <w:sz w:val="22"/>
        </w:rPr>
        <w:t>【重点】</w:t>
      </w:r>
      <w:r>
        <w:rPr>
          <w:rFonts w:ascii="微软雅黑" w:hAnsi="微软雅黑" w:eastAsia="微软雅黑"/>
          <w:b w:val="0"/>
          <w:i w:val="0"/>
          <w:color w:val="202833"/>
          <w:sz w:val="22"/>
        </w:rPr>
        <w:t xml:space="preserve">  </w:t>
      </w:r>
      <w:r>
        <w:rPr>
          <w:rFonts w:ascii="微软雅黑" w:hAnsi="微软雅黑" w:eastAsia="微软雅黑"/>
          <w:b w:val="0"/>
          <w:i w:val="0"/>
          <w:color w:val="202833"/>
          <w:sz w:val="22"/>
        </w:rPr>
        <w:t>求意见稿提出的“连续工作4小时应保障适当休息”“算法以人为本、公平正义、安全可控”“停止派单、封禁账号等重大决定须人工审核”等要求，正被平台逐条对表落实。</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专家解读：以“劳动管理程度”为标尺，构建分层分类保障体系</w:t>
      </w:r>
    </w:p>
    <w:p>
      <w:pPr>
        <w:spacing w:after="140" w:before="0" w:line="312" w:lineRule="auto"/>
        <w:ind w:left="113"/>
      </w:pPr>
      <w:r>
        <w:rPr>
          <w:rFonts w:ascii="微软雅黑" w:hAnsi="微软雅黑" w:eastAsia="微软雅黑"/>
          <w:b w:val="0"/>
          <w:i w:val="0"/>
          <w:color w:val="202833"/>
          <w:sz w:val="22"/>
        </w:rPr>
        <w:t>中国社科院王天玉指出，征求意见稿对算法这一新型劳动规则专项规制，确立算法取中原则、要求解释算法原理、禁止算法歧视；中央财大沈建峰表示分类以劳动管理程度为标尺：符合劳动关系签劳动合同，有管理但不符合标准签书面用工协议，共同管理签三方协议；中国劳科院黄昆认为制度提取了“最大公约数”。</w:t>
      </w:r>
    </w:p>
    <w:p>
      <w:pPr>
        <w:spacing w:after="140" w:line="312" w:lineRule="auto"/>
        <w:shd w:val="clear" w:fill="FFF4E6"/>
      </w:pPr>
      <w:r>
        <w:rPr>
          <w:rFonts w:ascii="微软雅黑" w:hAnsi="微软雅黑" w:eastAsia="微软雅黑"/>
          <w:b/>
          <w:i w:val="0"/>
          <w:color w:val="F57C00"/>
          <w:sz w:val="22"/>
        </w:rPr>
        <w:t>【重点】</w:t>
      </w:r>
      <w:r>
        <w:rPr>
          <w:rFonts w:ascii="微软雅黑" w:hAnsi="微软雅黑" w:eastAsia="微软雅黑"/>
          <w:b w:val="0"/>
          <w:i w:val="0"/>
          <w:color w:val="202833"/>
          <w:sz w:val="22"/>
        </w:rPr>
        <w:t xml:space="preserve">  </w:t>
      </w:r>
      <w:r>
        <w:rPr>
          <w:rFonts w:ascii="微软雅黑" w:hAnsi="微软雅黑" w:eastAsia="微软雅黑"/>
          <w:b w:val="0"/>
          <w:i w:val="0"/>
          <w:color w:val="202833"/>
          <w:sz w:val="22"/>
        </w:rPr>
        <w:t>酬方面明确考虑自备生产资料成本后工资不低于最低工资、不得滥用罚款；维权方面要求建立申诉机制，对报酬、工时、考核、封号异议须48小时内人工答复，并可将平台与用工合作企业列为共同当事人。合规成本将实质性上升，问题已不是“要不要合规”，而是“合规能力能否沉淀为系统”。</w:t>
      </w:r>
    </w:p>
    <w:p>
      <w:pPr>
        <w:spacing w:after="200" w:line="312" w:lineRule="auto"/>
        <w:ind w:left="113"/>
        <w:shd w:val="clear" w:fill="EAF1FB"/>
      </w:pPr>
      <w:r>
        <w:rPr>
          <w:rFonts w:ascii="微软雅黑" w:hAnsi="微软雅黑" w:eastAsia="微软雅黑"/>
          <w:b/>
          <w:i w:val="0"/>
          <w:color w:val="F57C00"/>
          <w:sz w:val="22"/>
        </w:rPr>
        <w:t>判断：</w:t>
      </w:r>
      <w:r>
        <w:rPr>
          <w:rFonts w:ascii="微软雅黑" w:hAnsi="微软雅黑" w:eastAsia="微软雅黑"/>
          <w:b w:val="0"/>
          <w:i w:val="0"/>
          <w:color w:val="202833"/>
          <w:sz w:val="22"/>
        </w:rPr>
        <w:t>灵活用工处在“立法定型＋平台自查＋供给提质”三期叠加窗口：短期合规成本上升，中期利好能把权益保障做成产品能力的头部平台。</w:t>
      </w:r>
    </w:p>
    <w:p>
      <w:pPr>
        <w:spacing w:after="120" w:before="240" w:line="312" w:lineRule="auto"/>
        <w:shd w:val="clear" w:fill="EAF1FB"/>
      </w:pPr>
      <w:r>
        <w:rPr>
          <w:rFonts w:ascii="微软雅黑" w:hAnsi="微软雅黑" w:eastAsia="微软雅黑"/>
          <w:b/>
          <w:i w:val="0"/>
          <w:color w:val="1E4E9C"/>
          <w:sz w:val="30"/>
        </w:rPr>
        <w:t>◆ 投资创业板块</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全球HR科技“估值降温、投入加码”：TOP10市值一月缩水331亿美元</w:t>
      </w:r>
    </w:p>
    <w:p>
      <w:pPr>
        <w:spacing w:after="140" w:before="0" w:line="312" w:lineRule="auto"/>
        <w:ind w:left="113"/>
      </w:pPr>
      <w:r>
        <w:rPr>
          <w:rFonts w:ascii="微软雅黑" w:hAnsi="微软雅黑" w:eastAsia="微软雅黑"/>
          <w:b w:val="0"/>
          <w:i w:val="0"/>
          <w:color w:val="202833"/>
          <w:sz w:val="22"/>
        </w:rPr>
        <w:t>HRTechChina 10月14日《2026年10月全球行业观察》显示，截至10月2日收盘，全球HR上市公司市值TOP10合计约3783亿美元，较上期减少331亿美元、降幅8.0%；中国TOP10合计约721.97亿元，下降10.7%。而9月全球HR科技记录14起融资，已披露总额超10亿美元。</w:t>
      </w:r>
    </w:p>
    <w:p>
      <w:pPr>
        <w:spacing w:after="140" w:line="312" w:lineRule="auto"/>
        <w:shd w:val="clear" w:fill="FFF4E6"/>
      </w:pPr>
      <w:r>
        <w:rPr>
          <w:rFonts w:ascii="微软雅黑" w:hAnsi="微软雅黑" w:eastAsia="微软雅黑"/>
          <w:b/>
          <w:i w:val="0"/>
          <w:color w:val="F57C00"/>
          <w:sz w:val="22"/>
        </w:rPr>
        <w:t>【重点】</w:t>
      </w:r>
      <w:r>
        <w:rPr>
          <w:rFonts w:ascii="微软雅黑" w:hAnsi="微软雅黑" w:eastAsia="微软雅黑"/>
          <w:b w:val="0"/>
          <w:i w:val="0"/>
          <w:color w:val="202833"/>
          <w:sz w:val="22"/>
        </w:rPr>
        <w:t xml:space="preserve">  </w:t>
      </w:r>
      <w:r>
        <w:rPr>
          <w:rFonts w:ascii="微软雅黑" w:hAnsi="微软雅黑" w:eastAsia="微软雅黑"/>
          <w:b w:val="0"/>
          <w:i w:val="0"/>
          <w:color w:val="202833"/>
          <w:sz w:val="22"/>
        </w:rPr>
        <w:t>金高度集中：Angle Health 6亿美元、HiBob 1.66亿美元、Thatch 1.08亿美元，三家合计占当月TOP10金额约84.9%。核心判断是“有AI功能”已不构成优势，资本追问AI能否带来真实收入与利润率改善。国内已现信号：云学堂AI产品MRR达440万元、猎聘AI产品现金回款接近100%增长、北森以Mavens探索从SaaS向智能服务延伸。</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本周一级市场：AI招聘与HR流程自动化最受追捧</w:t>
      </w:r>
    </w:p>
    <w:p>
      <w:pPr>
        <w:spacing w:after="140" w:before="0" w:line="312" w:lineRule="auto"/>
        <w:ind w:left="113"/>
      </w:pPr>
      <w:r>
        <w:rPr>
          <w:rFonts w:ascii="微软雅黑" w:hAnsi="微软雅黑" w:eastAsia="微软雅黑"/>
          <w:b w:val="0"/>
          <w:i w:val="0"/>
          <w:color w:val="202833"/>
          <w:sz w:val="22"/>
        </w:rPr>
        <w:t>美国AI招聘平台Metaview完成6000万美元C轮（Insight Partners领投、GV等跟投），累计融资1.1亿美元，其“代理式招聘”可将招聘周期缩短75%以上；一线应急人员绩效辅导平台Sharp Performance获1800万美元A轮（Hidden Variable领投、a16z等跟投），累计3000万美元。</w:t>
      </w:r>
    </w:p>
    <w:p>
      <w:pPr>
        <w:spacing w:after="140" w:line="312" w:lineRule="auto"/>
        <w:shd w:val="clear" w:fill="FFF4E6"/>
      </w:pPr>
      <w:r>
        <w:rPr>
          <w:rFonts w:ascii="微软雅黑" w:hAnsi="微软雅黑" w:eastAsia="微软雅黑"/>
          <w:b/>
          <w:i w:val="0"/>
          <w:color w:val="F57C00"/>
          <w:sz w:val="22"/>
        </w:rPr>
        <w:t>【重点】</w:t>
      </w:r>
      <w:r>
        <w:rPr>
          <w:rFonts w:ascii="微软雅黑" w:hAnsi="微软雅黑" w:eastAsia="微软雅黑"/>
          <w:b w:val="0"/>
          <w:i w:val="0"/>
          <w:color w:val="202833"/>
          <w:sz w:val="22"/>
        </w:rPr>
        <w:t xml:space="preserve">  </w:t>
      </w:r>
      <w:r>
        <w:rPr>
          <w:rFonts w:ascii="微软雅黑" w:hAnsi="微软雅黑" w:eastAsia="微软雅黑"/>
          <w:b w:val="0"/>
          <w:i w:val="0"/>
          <w:color w:val="202833"/>
          <w:sz w:val="22"/>
        </w:rPr>
        <w:t>洲与新兴市场同样活跃：慕尼黑Ahron获220万欧元（Cusp Capital领投），在既有HR系统之上以流程智能实现薪资审核、入职自动化；维也纳reebuild获300万欧元种子轮；印度byteXL获900万美元，以B2B模式嵌入120所工程学院。资金明确流向“可审计的自动化”与“人才前置培养”。</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巨头动作：Workday收购C1.ai、SAP收购TechWolf，HR系统转向“AI治理入口”</w:t>
      </w:r>
    </w:p>
    <w:p>
      <w:pPr>
        <w:spacing w:after="140" w:before="0" w:line="312" w:lineRule="auto"/>
        <w:ind w:left="113"/>
      </w:pPr>
      <w:r>
        <w:rPr>
          <w:rFonts w:ascii="微软雅黑" w:hAnsi="微软雅黑" w:eastAsia="微软雅黑"/>
          <w:b w:val="0"/>
          <w:i w:val="0"/>
          <w:color w:val="202833"/>
          <w:sz w:val="22"/>
        </w:rPr>
        <w:t>10月13日，Workday在Workday Rising 2026大会宣布签署协议收购AI身份与访问权限治理公司C1.ai，把员工与AI Agent的身份管理、访问授权与权限审计整合进平台，同时发布Work Intelligence重构岗位与技能，已有超5500家客户使用其自研AI代理。10月6日，SAP宣布收购比利时TechWolf，将Work Intelligence技术与AI研发能力纳入产品体系。</w:t>
      </w:r>
    </w:p>
    <w:p>
      <w:pPr>
        <w:spacing w:after="140" w:line="312" w:lineRule="auto"/>
        <w:shd w:val="clear" w:fill="FFF4E6"/>
      </w:pPr>
      <w:r>
        <w:rPr>
          <w:rFonts w:ascii="微软雅黑" w:hAnsi="微软雅黑" w:eastAsia="微软雅黑"/>
          <w:b/>
          <w:i w:val="0"/>
          <w:color w:val="F57C00"/>
          <w:sz w:val="22"/>
        </w:rPr>
        <w:t>【重点】</w:t>
      </w:r>
      <w:r>
        <w:rPr>
          <w:rFonts w:ascii="微软雅黑" w:hAnsi="微软雅黑" w:eastAsia="微软雅黑"/>
          <w:b w:val="0"/>
          <w:i w:val="0"/>
          <w:color w:val="202833"/>
          <w:sz w:val="22"/>
        </w:rPr>
        <w:t xml:space="preserve">  </w:t>
      </w:r>
      <w:r>
        <w:rPr>
          <w:rFonts w:ascii="微软雅黑" w:hAnsi="微软雅黑" w:eastAsia="微软雅黑"/>
          <w:b w:val="0"/>
          <w:i w:val="0"/>
          <w:color w:val="202833"/>
          <w:sz w:val="22"/>
        </w:rPr>
        <w:t>笔收购指向同一判断：当AI Agent开始“替人干活”，HR系统必须同时成为“数字劳动力的记录系统与权限闸门”。竞争维度已从“流程管理”上升到“组织智能＋AI安全”，国内HR SaaS的单点功能更易被替代，“技能数据＋权限治理＋交付结果”才具长期壁垒。</w:t>
      </w:r>
    </w:p>
    <w:p>
      <w:pPr>
        <w:spacing w:after="200" w:line="312" w:lineRule="auto"/>
        <w:ind w:left="113"/>
        <w:shd w:val="clear" w:fill="EAF1FB"/>
      </w:pPr>
      <w:r>
        <w:rPr>
          <w:rFonts w:ascii="微软雅黑" w:hAnsi="微软雅黑" w:eastAsia="微软雅黑"/>
          <w:b/>
          <w:i w:val="0"/>
          <w:color w:val="F57C00"/>
          <w:sz w:val="22"/>
        </w:rPr>
        <w:t>判断：</w:t>
      </w:r>
      <w:r>
        <w:rPr>
          <w:rFonts w:ascii="微软雅黑" w:hAnsi="微软雅黑" w:eastAsia="微软雅黑"/>
          <w:b w:val="0"/>
          <w:i w:val="0"/>
          <w:color w:val="202833"/>
          <w:sz w:val="22"/>
        </w:rPr>
        <w:t>资本不再为“AI标签”付费，而为“AI带来的收入与效率”付费；一级市场向代理式招聘、流程自动化、人才前置培养集中，二级市场仍在消化估值。</w:t>
      </w:r>
    </w:p>
    <w:p>
      <w:pPr>
        <w:spacing w:after="120" w:before="240" w:line="312" w:lineRule="auto"/>
        <w:shd w:val="clear" w:fill="EAF1FB"/>
      </w:pPr>
      <w:r>
        <w:rPr>
          <w:rFonts w:ascii="微软雅黑" w:hAnsi="微软雅黑" w:eastAsia="微软雅黑"/>
          <w:b/>
          <w:i w:val="0"/>
          <w:color w:val="1E4E9C"/>
          <w:sz w:val="30"/>
        </w:rPr>
        <w:t>◆ 重点事件深度解读</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事件一：五部门风险提示——招聘治理从“事后查处”转向“入口防控”</w:t>
      </w:r>
    </w:p>
    <w:p>
      <w:pPr>
        <w:spacing w:after="140" w:before="0" w:line="312" w:lineRule="auto"/>
        <w:ind w:left="113"/>
      </w:pPr>
      <w:r>
        <w:rPr>
          <w:rFonts w:ascii="微软雅黑" w:hAnsi="微软雅黑" w:eastAsia="微软雅黑"/>
          <w:b w:val="0"/>
          <w:i w:val="0"/>
          <w:color w:val="202833"/>
          <w:sz w:val="22"/>
        </w:rPr>
        <w:t>提示的时间点值得注意：正值秋招与社招旺季叠加、高校毕业生规模持续增加，求职焦虑最易被“内部名额”话术击中。提示不仅列套路，还给出可执行的核查工具与举报路径，实质是把治理端口从“发案后打击”前移到“投递前识别”。</w:t>
      </w:r>
    </w:p>
    <w:p>
      <w:pPr>
        <w:spacing w:after="140" w:line="312" w:lineRule="auto"/>
        <w:shd w:val="clear" w:fill="FFF4E6"/>
      </w:pPr>
      <w:r>
        <w:rPr>
          <w:rFonts w:ascii="微软雅黑" w:hAnsi="微软雅黑" w:eastAsia="微软雅黑"/>
          <w:b/>
          <w:i w:val="0"/>
          <w:color w:val="F57C00"/>
          <w:sz w:val="22"/>
        </w:rPr>
        <w:t>【重点】</w:t>
      </w:r>
      <w:r>
        <w:rPr>
          <w:rFonts w:ascii="微软雅黑" w:hAnsi="微软雅黑" w:eastAsia="微软雅黑"/>
          <w:b w:val="0"/>
          <w:i w:val="0"/>
          <w:color w:val="202833"/>
          <w:sz w:val="22"/>
        </w:rPr>
        <w:t xml:space="preserve">  </w:t>
      </w:r>
      <w:r>
        <w:rPr>
          <w:rFonts w:ascii="微软雅黑" w:hAnsi="微软雅黑" w:eastAsia="微软雅黑"/>
          <w:b w:val="0"/>
          <w:i w:val="0"/>
          <w:color w:val="202833"/>
          <w:sz w:val="22"/>
        </w:rPr>
        <w:t>层影响有三：其一，平台主体责任进一步压实，虚假岗位审核、企业资质核验、账号异常监测将成监管常规项；其二，人服机构“资质”价值上升，无证与挂靠经营的灰色空间被压缩；其三，“付费内推”这一灰色业态被公开点名，相关直播带岗、社群引流将面临平台与监管双重清理。</w:t>
      </w:r>
    </w:p>
    <w:p>
      <w:pPr>
        <w:spacing w:after="140" w:before="0" w:line="312" w:lineRule="auto"/>
        <w:ind w:left="113"/>
      </w:pPr>
      <w:r>
        <w:rPr>
          <w:rFonts w:ascii="微软雅黑" w:hAnsi="微软雅黑" w:eastAsia="微软雅黑"/>
          <w:b w:val="0"/>
          <w:i w:val="0"/>
          <w:color w:val="202833"/>
          <w:sz w:val="22"/>
        </w:rPr>
        <w:t>【判断】短期会带来招聘信息下架与账号清理、审核成本上升；中期抬高行业信任门槛，对合规平台与持牌机构是结构性利好。企业HR也应把“渠道合规审查”纳入供应商管理流程，避免被合作方违规牵连雇主品牌。</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事件二：新就业形态立法进入“对表期”——承诺能否变成制度</w:t>
      </w:r>
    </w:p>
    <w:p>
      <w:pPr>
        <w:spacing w:after="140" w:before="0" w:line="312" w:lineRule="auto"/>
        <w:ind w:left="113"/>
      </w:pPr>
      <w:r>
        <w:rPr>
          <w:rFonts w:ascii="微软雅黑" w:hAnsi="微软雅黑" w:eastAsia="微软雅黑"/>
          <w:b w:val="0"/>
          <w:i w:val="0"/>
          <w:color w:val="202833"/>
          <w:sz w:val="22"/>
        </w:rPr>
        <w:t>征求意见稿自10月8日发布、11月8日截止，本周进入实质性对表期。四家平台的回应恰好覆盖四条主线：报酬（足额发放、明细透明）、休息（分时提醒与强制下线）、算法（等灯不计时、骑手恳谈会）、保障（职业伤害试点、职业培训体系）。</w:t>
      </w:r>
    </w:p>
    <w:p>
      <w:pPr>
        <w:spacing w:after="140" w:line="312" w:lineRule="auto"/>
        <w:shd w:val="clear" w:fill="FFF4E6"/>
      </w:pPr>
      <w:r>
        <w:rPr>
          <w:rFonts w:ascii="微软雅黑" w:hAnsi="微软雅黑" w:eastAsia="微软雅黑"/>
          <w:b/>
          <w:i w:val="0"/>
          <w:color w:val="F57C00"/>
          <w:sz w:val="22"/>
        </w:rPr>
        <w:t>【重点】</w:t>
      </w:r>
      <w:r>
        <w:rPr>
          <w:rFonts w:ascii="微软雅黑" w:hAnsi="微软雅黑" w:eastAsia="微软雅黑"/>
          <w:b w:val="0"/>
          <w:i w:val="0"/>
          <w:color w:val="202833"/>
          <w:sz w:val="22"/>
        </w:rPr>
        <w:t xml:space="preserve">  </w:t>
      </w:r>
      <w:r>
        <w:rPr>
          <w:rFonts w:ascii="微软雅黑" w:hAnsi="微软雅黑" w:eastAsia="微软雅黑"/>
          <w:b w:val="0"/>
          <w:i w:val="0"/>
          <w:color w:val="202833"/>
          <w:sz w:val="22"/>
        </w:rPr>
        <w:t>“企业承诺”与“制度约束”仍有距离。算法取中、算法解释义务、封号须人工审核、48小时人工答复、禁止诱导注册个体户、责任穿透机制，都需要系统改造与组织重构。“48小时人工答复”要求可追溯工单体系与人力配置，“算法解释”要求把模型逻辑翻译成劳动者可理解的语言——这不是一份声明能完成的。</w:t>
      </w:r>
    </w:p>
    <w:p>
      <w:pPr>
        <w:spacing w:after="140" w:before="0" w:line="312" w:lineRule="auto"/>
        <w:ind w:left="113"/>
      </w:pPr>
      <w:r>
        <w:rPr>
          <w:rFonts w:ascii="微软雅黑" w:hAnsi="微软雅黑" w:eastAsia="微软雅黑"/>
          <w:b w:val="0"/>
          <w:i w:val="0"/>
          <w:color w:val="202833"/>
          <w:sz w:val="22"/>
        </w:rPr>
        <w:t>【判断】未来12个月是观察窗口：一看正式稿是否保留“不完全劳动关系”与责任穿透；二看职业伤害保障试点扩围节奏与筹资分担比例；三看地方执法尺度，若以头部平台为样板检查，行业合规成本将快速抬升。</w:t>
      </w:r>
    </w:p>
    <w:p>
      <w:pPr>
        <w:spacing w:after="120" w:before="240" w:line="312" w:lineRule="auto"/>
        <w:shd w:val="clear" w:fill="EAF1FB"/>
      </w:pPr>
      <w:r>
        <w:rPr>
          <w:rFonts w:ascii="微软雅黑" w:hAnsi="微软雅黑" w:eastAsia="微软雅黑"/>
          <w:b/>
          <w:i w:val="0"/>
          <w:color w:val="1E4E9C"/>
          <w:sz w:val="30"/>
        </w:rPr>
        <w:t>◆ 趋势研判与风险提示</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趋势一：政策主线从“扩规模”转向“提质量＋明责任”</w:t>
      </w:r>
    </w:p>
    <w:p>
      <w:pPr>
        <w:spacing w:after="140" w:before="0" w:line="312" w:lineRule="auto"/>
        <w:ind w:left="113"/>
      </w:pPr>
      <w:r>
        <w:rPr>
          <w:rFonts w:ascii="微软雅黑" w:hAnsi="微软雅黑" w:eastAsia="微软雅黑"/>
          <w:b w:val="0"/>
          <w:i w:val="0"/>
          <w:color w:val="202833"/>
          <w:sz w:val="22"/>
        </w:rPr>
        <w:t>三条线索指向同一方向：“十五五”把“人力资源服务+”融合发展行动单列，湖北、重庆以“扩能提质”“AI赋能”推动行业升级；五部门风险提示压实招聘入口责任；新就业形态立法明确平台用工责任。政策关键词已从“培育、扩大”转为“提质、规范、穿透”，行业增速或放缓，但规范化带来的集中度提升利好头部。</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趋势二：需求结构“两头热”——照护与AI技术岗同时紧缺</w:t>
      </w:r>
    </w:p>
    <w:p>
      <w:pPr>
        <w:spacing w:after="140" w:before="0" w:line="312" w:lineRule="auto"/>
        <w:ind w:left="113"/>
      </w:pPr>
      <w:r>
        <w:rPr>
          <w:rFonts w:ascii="微软雅黑" w:hAnsi="微软雅黑" w:eastAsia="微软雅黑"/>
          <w:b w:val="0"/>
          <w:i w:val="0"/>
          <w:color w:val="202833"/>
          <w:sz w:val="22"/>
        </w:rPr>
        <w:t>智联招聘数据显示养老/看护职位增速43.9%居首、新材料14.8%次之，应届AI工程师月薪17775元；科锐国际报告显示AI相关职位三年增长约119%、占比从0.72%升至2.01%，智能体开发人才需求同比增244%、AI工程师需供比2.62:1。人才市场矛盾正从“总量”转为“结构”。</w:t>
      </w:r>
    </w:p>
    <w:p>
      <w:pPr>
        <w:spacing w:after="60" w:line="312" w:lineRule="auto"/>
      </w:pPr>
      <w:r>
        <w:rPr>
          <w:rFonts w:ascii="微软雅黑" w:hAnsi="微软雅黑" w:eastAsia="微软雅黑"/>
          <w:b/>
          <w:i w:val="0"/>
          <w:color w:val="F57C00"/>
          <w:sz w:val="24"/>
        </w:rPr>
        <w:t>▍</w:t>
      </w:r>
      <w:r>
        <w:rPr>
          <w:rFonts w:ascii="微软雅黑" w:hAnsi="微软雅黑" w:eastAsia="微软雅黑"/>
          <w:b/>
          <w:i w:val="0"/>
          <w:color w:val="141A26"/>
          <w:sz w:val="24"/>
        </w:rPr>
        <w:t>⚠ 风险提示：数据合规、用工责任与跨境法律三重约束</w:t>
      </w:r>
    </w:p>
    <w:p>
      <w:pPr>
        <w:spacing w:after="140" w:line="312" w:lineRule="auto"/>
        <w:shd w:val="clear" w:fill="FDEAEA"/>
      </w:pPr>
      <w:r>
        <w:rPr>
          <w:rFonts w:ascii="微软雅黑" w:hAnsi="微软雅黑" w:eastAsia="微软雅黑"/>
          <w:b/>
          <w:i w:val="0"/>
          <w:color w:val="D62B1F"/>
          <w:sz w:val="22"/>
        </w:rPr>
        <w:t xml:space="preserve">⚠ </w:t>
      </w:r>
      <w:r>
        <w:rPr>
          <w:rFonts w:ascii="微软雅黑" w:hAnsi="微软雅黑" w:eastAsia="微软雅黑"/>
          <w:b w:val="0"/>
          <w:i w:val="0"/>
          <w:color w:val="202833"/>
          <w:sz w:val="22"/>
        </w:rPr>
        <w:t>数据合规：10月17日媒体报道，犯罪嫌疑人收购闲置招聘网站账号、伪造授权书与资质文件“复活”失效账号，获取简历查看与联系方式解锁权限。平台账号生命周期管理、资质复核与异常监测存在漏洞，一旦大规模泄露将面临行政处罚与民事索赔。</w:t>
      </w:r>
    </w:p>
    <w:p>
      <w:pPr>
        <w:spacing w:after="140" w:line="312" w:lineRule="auto"/>
        <w:shd w:val="clear" w:fill="FDEAEA"/>
      </w:pPr>
      <w:r>
        <w:rPr>
          <w:rFonts w:ascii="微软雅黑" w:hAnsi="微软雅黑" w:eastAsia="微软雅黑"/>
          <w:b/>
          <w:i w:val="0"/>
          <w:color w:val="D62B1F"/>
          <w:sz w:val="22"/>
        </w:rPr>
        <w:t xml:space="preserve">⚠ </w:t>
      </w:r>
      <w:r>
        <w:rPr>
          <w:rFonts w:ascii="微软雅黑" w:hAnsi="微软雅黑" w:eastAsia="微软雅黑"/>
          <w:b w:val="0"/>
          <w:i w:val="0"/>
          <w:color w:val="202833"/>
          <w:sz w:val="22"/>
        </w:rPr>
        <w:t>用工责任：责任穿透机制明确禁止诱导劳动者注册个体工商户、通过多层转包规避用工责任。沿用“层层外包＋个体户注册”旧模式的平台与合作企业，将面临补缴社保、补缴个税与连带赔偿叠加风险。</w:t>
      </w:r>
    </w:p>
    <w:p>
      <w:pPr>
        <w:spacing w:after="140" w:line="312" w:lineRule="auto"/>
        <w:shd w:val="clear" w:fill="FDEAEA"/>
      </w:pPr>
      <w:r>
        <w:rPr>
          <w:rFonts w:ascii="微软雅黑" w:hAnsi="微软雅黑" w:eastAsia="微软雅黑"/>
          <w:b/>
          <w:i w:val="0"/>
          <w:color w:val="D62B1F"/>
          <w:sz w:val="22"/>
        </w:rPr>
        <w:t xml:space="preserve">⚠ </w:t>
      </w:r>
      <w:r>
        <w:rPr>
          <w:rFonts w:ascii="微软雅黑" w:hAnsi="微软雅黑" w:eastAsia="微软雅黑"/>
          <w:b w:val="0"/>
          <w:i w:val="0"/>
          <w:color w:val="202833"/>
          <w:sz w:val="22"/>
        </w:rPr>
        <w:t>跨境法律：商务部修订对外承包工程条例、拟增列40项禁限出口技术，出海企业面临“技术管制＋属地劳动法”双重约束；巴西工时修正案落地亦提示目标市场立法变动可能快速抬升用工成本。</w:t>
      </w:r>
    </w:p>
    <w:p>
      <w:pPr>
        <w:spacing w:after="140" w:line="312" w:lineRule="auto"/>
        <w:shd w:val="clear" w:fill="FDEAEA"/>
      </w:pPr>
      <w:r>
        <w:rPr>
          <w:rFonts w:ascii="微软雅黑" w:hAnsi="微软雅黑" w:eastAsia="微软雅黑"/>
          <w:b/>
          <w:i w:val="0"/>
          <w:color w:val="D62B1F"/>
          <w:sz w:val="22"/>
        </w:rPr>
        <w:t xml:space="preserve">⚠ </w:t>
      </w:r>
      <w:r>
        <w:rPr>
          <w:rFonts w:ascii="微软雅黑" w:hAnsi="微软雅黑" w:eastAsia="微软雅黑"/>
          <w:b w:val="0"/>
          <w:i w:val="0"/>
          <w:color w:val="202833"/>
          <w:sz w:val="22"/>
        </w:rPr>
        <w:t>估值与现金流：全球HR上市公司TOP10市值一月缩水8.0%、中国TOP10下降10.7%，一级市场资金集中于少数头部。中小HR科技企业融资难度上升，需警惕“以补贴换增长”的现金流断裂风险。</w:t>
      </w:r>
    </w:p>
    <w:p>
      <w:pPr>
        <w:spacing w:after="40"/>
      </w:pPr>
    </w:p>
    <w:p>
      <w:pPr>
        <w:spacing w:after="0" w:line="312" w:lineRule="auto"/>
        <w:shd w:val="clear" w:fill="D62B1F"/>
      </w:pPr>
      <w:r>
        <w:rPr>
          <w:rFonts w:ascii="微软雅黑" w:hAnsi="微软雅黑" w:eastAsia="微软雅黑"/>
          <w:b/>
          <w:i w:val="0"/>
          <w:color w:val="FFFFFF"/>
          <w:sz w:val="23"/>
        </w:rPr>
        <w:t>一句话判断：</w:t>
      </w:r>
    </w:p>
    <w:p>
      <w:pPr>
        <w:spacing w:after="200" w:line="312" w:lineRule="auto"/>
        <w:shd w:val="clear" w:fill="FDEAEA"/>
      </w:pPr>
      <w:r>
        <w:rPr>
          <w:rFonts w:ascii="微软雅黑" w:hAnsi="微软雅黑" w:eastAsia="微软雅黑"/>
          <w:b/>
          <w:i w:val="0"/>
          <w:color w:val="D62B1F"/>
          <w:sz w:val="23"/>
        </w:rPr>
        <w:t>政策不再只是“给方向”，而是在“划边界、定责任、查落地”。招聘入口治理、新就业形态责任穿透、跨境用工资质门槛三条线同时收紧。对人服机构与平台而言，2026年剩下的两个月不是冲规模的时间，而是补合规、补系统、补交付能力的时间——谁能把合规做成产品，谁就能在下一轮集中度提升中拿到份额。</w:t>
      </w:r>
    </w:p>
    <w:p>
      <w:pPr>
        <w:spacing w:after="40" w:before="0" w:line="312" w:lineRule="auto"/>
        <w:jc w:val="center"/>
      </w:pPr>
      <w:r>
        <w:rPr>
          <w:rFonts w:ascii="微软雅黑" w:hAnsi="微软雅黑" w:eastAsia="微软雅黑"/>
          <w:b w:val="0"/>
          <w:i w:val="0"/>
          <w:color w:val="5C6B7A"/>
          <w:sz w:val="17"/>
        </w:rPr>
        <w:t>—— 本报告由AI自动抓取生成，数据来源为公开信息，仅供参考，不构成任何投资建议 ——</w:t>
      </w:r>
    </w:p>
    <w:p>
      <w:pPr>
        <w:spacing w:after="120" w:before="0" w:line="312" w:lineRule="auto"/>
        <w:jc w:val="center"/>
      </w:pPr>
      <w:r>
        <w:rPr>
          <w:rFonts w:ascii="微软雅黑" w:hAnsi="微软雅黑" w:eastAsia="微软雅黑"/>
          <w:b w:val="0"/>
          <w:i w:val="0"/>
          <w:color w:val="5C6B7A"/>
          <w:sz w:val="17"/>
        </w:rPr>
        <w:t>生成时间：2026-10-18 07:00</w:t>
      </w:r>
    </w:p>
    <w:sectPr w:rsidR="00FC693F" w:rsidRPr="0006063C" w:rsidSect="00034616">
      <w:pgSz w:w="12240" w:h="15840"/>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