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efore="0" w:line="312" w:lineRule="auto"/>
        <w:jc w:val="center"/>
      </w:pPr>
      <w:r>
        <w:rPr>
          <w:rFonts w:ascii="微软雅黑" w:hAnsi="微软雅黑" w:eastAsia="微软雅黑"/>
          <w:b/>
          <w:i w:val="0"/>
          <w:color w:val="0F2452"/>
          <w:sz w:val="48"/>
        </w:rPr>
        <w:t>人力资源行业新闻周报</w:t>
      </w:r>
    </w:p>
    <w:p>
      <w:pPr>
        <w:spacing w:after="40" w:before="0" w:line="312" w:lineRule="auto"/>
        <w:jc w:val="center"/>
      </w:pPr>
      <w:r>
        <w:rPr>
          <w:rFonts w:ascii="微软雅黑" w:hAnsi="微软雅黑" w:eastAsia="微软雅黑"/>
          <w:b/>
          <w:i w:val="0"/>
          <w:color w:val="1E4E9C"/>
          <w:sz w:val="22"/>
        </w:rPr>
        <w:t>Weekly HR Industry News Report</w:t>
      </w:r>
    </w:p>
    <w:p>
      <w:pPr>
        <w:spacing w:after="200" w:before="0" w:line="312" w:lineRule="auto"/>
        <w:jc w:val="center"/>
      </w:pPr>
      <w:r>
        <w:rPr>
          <w:rFonts w:ascii="微软雅黑" w:hAnsi="微软雅黑" w:eastAsia="微软雅黑"/>
          <w:b w:val="0"/>
          <w:i w:val="0"/>
          <w:color w:val="5C6B7A"/>
          <w:sz w:val="21"/>
        </w:rPr>
        <w:t>报告周期：2026年10月12日 — 10月19日（滚动一周）</w:t>
      </w:r>
    </w:p>
    <w:p>
      <w:pPr>
        <w:spacing w:after="160" w:line="336" w:lineRule="auto"/>
        <w:shd w:val="clear" w:fill="FFF4E6"/>
      </w:pPr>
      <w:r>
        <w:rPr>
          <w:rFonts w:ascii="微软雅黑" w:hAnsi="微软雅黑" w:eastAsia="微软雅黑"/>
          <w:b/>
          <w:i w:val="0"/>
          <w:color w:val="F57C00"/>
          <w:sz w:val="21"/>
        </w:rPr>
        <w:t>本周核心动向：</w:t>
      </w:r>
      <w:r>
        <w:rPr>
          <w:rFonts w:ascii="微软雅黑" w:hAnsi="微软雅黑" w:eastAsia="微软雅黑"/>
          <w:b w:val="0"/>
          <w:i w:val="0"/>
          <w:color w:val="141A26"/>
          <w:sz w:val="21"/>
        </w:rPr>
        <w:t>本周主线是“制度落地”与“数据合规”同时收紧：上海普陀检察院披露的简历“开盒”黑产案已判决，主犯获刑四年；五部门联合提示“央国企内推”骗局；《新就业形态劳动者权益保障办法（征求意见稿）》从纸面走向地方算法协商；银行秋招大规模启用AI面试；一级市场则继续向代理式招聘与HR流程自动化集中。行业竞争的关键词，正从“流量规模”切换为“合规交付与真实效率”。</w:t>
      </w:r>
    </w:p>
    <w:p>
      <w:pPr>
        <w:spacing w:after="80" w:before="120" w:line="312" w:lineRule="auto"/>
      </w:pPr>
      <w:r>
        <w:rPr>
          <w:rFonts w:ascii="微软雅黑" w:hAnsi="微软雅黑" w:eastAsia="微软雅黑"/>
          <w:b/>
          <w:i w:val="0"/>
          <w:color w:val="1E4E9C"/>
          <w:sz w:val="28"/>
        </w:rPr>
        <w:t>◆ 本期速览</w:t>
      </w:r>
    </w:p>
    <w:p>
      <w:pPr>
        <w:spacing w:after="60" w:line="312" w:lineRule="auto"/>
      </w:pPr>
      <w:r>
        <w:rPr>
          <w:rFonts w:ascii="微软雅黑" w:hAnsi="微软雅黑" w:eastAsia="微软雅黑"/>
          <w:b/>
          <w:i w:val="0"/>
          <w:color w:val="F57C00"/>
          <w:sz w:val="21"/>
        </w:rPr>
        <w:t xml:space="preserve">▪ </w:t>
      </w:r>
      <w:r>
        <w:rPr>
          <w:rFonts w:ascii="微软雅黑" w:hAnsi="微软雅黑" w:eastAsia="微软雅黑"/>
          <w:b w:val="0"/>
          <w:i w:val="0"/>
          <w:color w:val="202833"/>
          <w:sz w:val="21"/>
        </w:rPr>
        <w:t>10月16日，人社部、中央网信办、教育部、公安部、国资委五部门联合发布风险提示，警惕“央国企内推”“直签保录”骗局，单案收费可达数千元至数十万元</w:t>
      </w:r>
    </w:p>
    <w:p>
      <w:pPr>
        <w:spacing w:after="60" w:line="312" w:lineRule="auto"/>
      </w:pPr>
      <w:r>
        <w:rPr>
          <w:rFonts w:ascii="微软雅黑" w:hAnsi="微软雅黑" w:eastAsia="微软雅黑"/>
          <w:b/>
          <w:i w:val="0"/>
          <w:color w:val="F57C00"/>
          <w:sz w:val="21"/>
        </w:rPr>
        <w:t xml:space="preserve">▪ </w:t>
      </w:r>
      <w:r>
        <w:rPr>
          <w:rFonts w:ascii="微软雅黑" w:hAnsi="微软雅黑" w:eastAsia="微软雅黑"/>
          <w:b w:val="0"/>
          <w:i w:val="0"/>
          <w:color w:val="202833"/>
          <w:sz w:val="21"/>
        </w:rPr>
        <w:t>国家社保公共服务平台已开通104项全国性、跨地区服务，累计服务113.53亿人次</w:t>
      </w:r>
    </w:p>
    <w:p>
      <w:pPr>
        <w:spacing w:after="60" w:line="312" w:lineRule="auto"/>
      </w:pPr>
      <w:r>
        <w:rPr>
          <w:rFonts w:ascii="微软雅黑" w:hAnsi="微软雅黑" w:eastAsia="微软雅黑"/>
          <w:b/>
          <w:i w:val="0"/>
          <w:color w:val="F57C00"/>
          <w:sz w:val="21"/>
        </w:rPr>
        <w:t xml:space="preserve">▪ </w:t>
      </w:r>
      <w:r>
        <w:rPr>
          <w:rFonts w:ascii="微软雅黑" w:hAnsi="微软雅黑" w:eastAsia="微软雅黑"/>
          <w:b w:val="0"/>
          <w:i w:val="0"/>
          <w:color w:val="202833"/>
          <w:sz w:val="21"/>
        </w:rPr>
        <w:t>简历“开盒”黑产案宣判：非法解锁简历数万条、获利70余万元，主犯被判四年并处罚金70万元</w:t>
      </w:r>
    </w:p>
    <w:p>
      <w:pPr>
        <w:spacing w:after="60" w:line="312" w:lineRule="auto"/>
      </w:pPr>
      <w:r>
        <w:rPr>
          <w:rFonts w:ascii="微软雅黑" w:hAnsi="微软雅黑" w:eastAsia="微软雅黑"/>
          <w:b/>
          <w:i w:val="0"/>
          <w:color w:val="F57C00"/>
          <w:sz w:val="21"/>
        </w:rPr>
        <w:t xml:space="preserve">▪ </w:t>
      </w:r>
      <w:r>
        <w:rPr>
          <w:rFonts w:ascii="微软雅黑" w:hAnsi="微软雅黑" w:eastAsia="微软雅黑"/>
          <w:b w:val="0"/>
          <w:i w:val="0"/>
          <w:color w:val="202833"/>
          <w:sz w:val="21"/>
        </w:rPr>
        <w:t>智联招聘三季度快报：养老/看护职位数同比增43.9%居首，应届AI工程师平均月薪17775元</w:t>
      </w:r>
    </w:p>
    <w:p>
      <w:pPr>
        <w:spacing w:after="60" w:line="312" w:lineRule="auto"/>
      </w:pPr>
      <w:r>
        <w:rPr>
          <w:rFonts w:ascii="微软雅黑" w:hAnsi="微软雅黑" w:eastAsia="微软雅黑"/>
          <w:b/>
          <w:i w:val="0"/>
          <w:color w:val="F57C00"/>
          <w:sz w:val="21"/>
        </w:rPr>
        <w:t xml:space="preserve">▪ </w:t>
      </w:r>
      <w:r>
        <w:rPr>
          <w:rFonts w:ascii="微软雅黑" w:hAnsi="微软雅黑" w:eastAsia="微软雅黑"/>
          <w:b w:val="0"/>
          <w:i w:val="0"/>
          <w:color w:val="202833"/>
          <w:sz w:val="21"/>
        </w:rPr>
        <w:t>商务部：1—8月外派各类劳务人员31.5万人，同比增加4.4万人；月末在外68.1万人</w:t>
      </w:r>
    </w:p>
    <w:p>
      <w:pPr>
        <w:spacing w:after="60" w:line="312" w:lineRule="auto"/>
      </w:pPr>
      <w:r>
        <w:rPr>
          <w:rFonts w:ascii="微软雅黑" w:hAnsi="微软雅黑" w:eastAsia="微软雅黑"/>
          <w:b/>
          <w:i w:val="0"/>
          <w:color w:val="F57C00"/>
          <w:sz w:val="21"/>
        </w:rPr>
        <w:t xml:space="preserve">▪ </w:t>
      </w:r>
      <w:r>
        <w:rPr>
          <w:rFonts w:ascii="微软雅黑" w:hAnsi="微软雅黑" w:eastAsia="微软雅黑"/>
          <w:b w:val="0"/>
          <w:i w:val="0"/>
          <w:color w:val="202833"/>
          <w:sz w:val="21"/>
        </w:rPr>
        <w:t>全球HR上市公司TOP10市值一个月缩水331亿美元，但9月全球HR科技融资仍超10亿美元</w:t>
      </w:r>
    </w:p>
    <w:p>
      <w:pPr>
        <w:spacing w:after="120" w:before="240" w:line="312" w:lineRule="auto"/>
        <w:shd w:val="clear" w:fill="EAF1FB"/>
      </w:pPr>
      <w:r>
        <w:rPr>
          <w:rFonts w:ascii="微软雅黑" w:hAnsi="微软雅黑" w:eastAsia="微软雅黑"/>
          <w:b/>
          <w:i w:val="0"/>
          <w:color w:val="1E4E9C"/>
          <w:sz w:val="30"/>
        </w:rPr>
        <w:t>◆ 行业要闻速览</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1. 五部门联合风险提示：严打“央国企内推”“直签保录”骗局</w:t>
      </w:r>
    </w:p>
    <w:p>
      <w:pPr>
        <w:spacing w:after="140" w:before="0" w:line="312" w:lineRule="auto"/>
        <w:ind w:left="113"/>
      </w:pPr>
      <w:r>
        <w:rPr>
          <w:rFonts w:ascii="微软雅黑" w:hAnsi="微软雅黑" w:eastAsia="微软雅黑"/>
          <w:b w:val="0"/>
          <w:i w:val="0"/>
          <w:color w:val="202833"/>
          <w:sz w:val="22"/>
        </w:rPr>
        <w:t>10月16日，人力资源社会保障部、中央网信办、教育部、公安部、国务院国资委联合发布风险提示。当前正值求职招聘旺季，一些不法分子冒用央国企名义发布虚假招聘信息引流，以“内部推荐”“直签保录”为幌子，甚至伪造招聘录用材料，诱导求职者支付高额费用，多存在数额较大、连环诈骗现象。</w:t>
      </w:r>
    </w:p>
    <w:p>
      <w:pPr>
        <w:spacing w:after="140" w:before="0" w:line="312" w:lineRule="auto"/>
        <w:ind w:left="113"/>
      </w:pPr>
      <w:r>
        <w:rPr>
          <w:rFonts w:ascii="微软雅黑" w:hAnsi="微软雅黑" w:eastAsia="微软雅黑"/>
          <w:b w:val="0"/>
          <w:i w:val="0"/>
          <w:color w:val="202833"/>
          <w:sz w:val="22"/>
        </w:rPr>
        <w:t>提示明确了两条“正门”：一是通过央国企官网、公共就业服务机构、正规校园招聘活动或具有合法资质的职业中介求职；二是可通过全国人社政务服务平台、电子社保卡、掌上12333等渠道核验人力资源服务机构资质。遭遇付费内推诈骗，可向公安机关报案，并向人社部门劳动监察机构、中央网信办12377举报。</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2. 社保公共服务“跨省通办”再扩容：104项服务累计办理113.53亿人次</w:t>
      </w:r>
    </w:p>
    <w:p>
      <w:pPr>
        <w:spacing w:after="140" w:before="0" w:line="312" w:lineRule="auto"/>
        <w:ind w:left="113"/>
      </w:pPr>
      <w:r>
        <w:rPr>
          <w:rFonts w:ascii="微软雅黑" w:hAnsi="微软雅黑" w:eastAsia="微软雅黑"/>
          <w:b w:val="0"/>
          <w:i w:val="0"/>
          <w:color w:val="202833"/>
          <w:sz w:val="22"/>
        </w:rPr>
        <w:t>10月18日央视新闻联播援引人社部数据：截至目前，国家社保公共服务平台已开通104项全国性、跨地区服务，累计服务113.53亿人次。社保关系转移、待遇资格认证、参保信息查询等高频事项的“跨域可办”，正在实质性降低跨地区流动就业的制度摩擦成本。</w:t>
      </w:r>
    </w:p>
    <w:p>
      <w:pPr>
        <w:spacing w:after="140" w:before="0" w:line="312" w:lineRule="auto"/>
        <w:ind w:left="113"/>
      </w:pPr>
      <w:r>
        <w:rPr>
          <w:rFonts w:ascii="微软雅黑" w:hAnsi="微软雅黑" w:eastAsia="微软雅黑"/>
          <w:b w:val="0"/>
          <w:i w:val="0"/>
          <w:color w:val="202833"/>
          <w:sz w:val="22"/>
        </w:rPr>
        <w:t>对人力资源服务机构而言，这意味着薪酬社保代理类业务的价值重心继续后移——标准化代办环节被政务平台替代，机构的增量空间转向复杂用工方案设计、跨区域合规咨询与员工服务体验。</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3. 简历“开盒”黑产案宣判：数万条简历被非法解锁，主犯获刑四年</w:t>
      </w:r>
    </w:p>
    <w:p>
      <w:pPr>
        <w:spacing w:after="140" w:before="0" w:line="312" w:lineRule="auto"/>
        <w:ind w:left="113"/>
      </w:pPr>
      <w:r>
        <w:rPr>
          <w:rFonts w:ascii="微软雅黑" w:hAnsi="微软雅黑" w:eastAsia="微软雅黑"/>
          <w:b w:val="0"/>
          <w:i w:val="0"/>
          <w:color w:val="202833"/>
          <w:sz w:val="22"/>
        </w:rPr>
        <w:t>10月17日媒体披露，上海普陀区检察院办理的一起侵犯公民个人信息案已于9月24日宣判。犯罪嫌疑人林某收购因人力资源资质失效而“闲置”的招聘网站账号，伪造企业授权书与资质文件使账号“复活”，再与同伙甘某通过刷平台任务积分解锁求职者联系方式，以每条十余元定向出售给商业咨询公司与猎头机构。</w:t>
      </w:r>
    </w:p>
    <w:p>
      <w:pPr>
        <w:spacing w:after="140" w:before="0" w:line="312" w:lineRule="auto"/>
        <w:ind w:left="113"/>
      </w:pPr>
      <w:r>
        <w:rPr>
          <w:rFonts w:ascii="微软雅黑" w:hAnsi="微软雅黑" w:eastAsia="微软雅黑"/>
          <w:b w:val="0"/>
          <w:i w:val="0"/>
          <w:color w:val="202833"/>
          <w:sz w:val="22"/>
        </w:rPr>
        <w:t>经查，二人非法获取的个人信息去重后达数万条，向买家提供7000余条，违法获利70余万元。法院以侵犯公民个人信息罪判处林某有期徒刑四年、罚金70万元，甘某有期徒刑一年六个月、罚金9万元。判决已生效。</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4. 三部门出台养老服务价格新政，普惠养老“分类定价”</w:t>
      </w:r>
    </w:p>
    <w:p>
      <w:pPr>
        <w:spacing w:after="140" w:before="0" w:line="312" w:lineRule="auto"/>
        <w:ind w:left="113"/>
      </w:pPr>
      <w:r>
        <w:rPr>
          <w:rFonts w:ascii="微软雅黑" w:hAnsi="微软雅黑" w:eastAsia="微软雅黑"/>
          <w:b w:val="0"/>
          <w:i w:val="0"/>
          <w:color w:val="202833"/>
          <w:sz w:val="22"/>
        </w:rPr>
        <w:t>国家发改委、民政部、国家卫健委等三部门联合印发《关于进一步完善价格形成机制推动普惠养老服务提质扩面的指导意见》，强调分类施策、统筹兼顾，通过清晰界定机构范围、分类完善价格形成机制，促进养老服务事业与产业协同发展。</w:t>
      </w:r>
    </w:p>
    <w:p>
      <w:pPr>
        <w:spacing w:after="140" w:before="0" w:line="312" w:lineRule="auto"/>
        <w:ind w:left="113"/>
      </w:pPr>
      <w:r>
        <w:rPr>
          <w:rFonts w:ascii="微软雅黑" w:hAnsi="微软雅黑" w:eastAsia="微软雅黑"/>
          <w:b w:val="0"/>
          <w:i w:val="0"/>
          <w:color w:val="202833"/>
          <w:sz w:val="22"/>
        </w:rPr>
        <w:t>价格机制理顺是供给扩张的前置条件。结合智联招聘三季度养老/看护职位数同比增43.9%的数据看，普惠养老的“可支付能力”一旦改善，照护岗位的需求释放还将延续，但薪酬水平与职业晋升通道仍是招人留人的核心瓶颈。</w:t>
      </w:r>
    </w:p>
    <w:p>
      <w:pPr>
        <w:spacing w:after="200" w:line="312" w:lineRule="auto"/>
        <w:ind w:left="113"/>
        <w:shd w:val="clear" w:fill="EAF1FB"/>
      </w:pPr>
      <w:r>
        <w:rPr>
          <w:rFonts w:ascii="微软雅黑" w:hAnsi="微软雅黑" w:eastAsia="微软雅黑"/>
          <w:b/>
          <w:i w:val="0"/>
          <w:color w:val="F57C00"/>
          <w:sz w:val="22"/>
        </w:rPr>
        <w:t>判断：</w:t>
      </w:r>
      <w:r>
        <w:rPr>
          <w:rFonts w:ascii="微软雅黑" w:hAnsi="微软雅黑" w:eastAsia="微软雅黑"/>
          <w:b w:val="0"/>
          <w:i w:val="0"/>
          <w:color w:val="202833"/>
          <w:sz w:val="22"/>
        </w:rPr>
        <w:t>政策重心正从“发文件、给方向”转向“划边界、查落地”。招聘入口治理、社保服务跨域化、数据合规刑事化三条线同时推进，行业的合规门槛被实质性抬高。</w:t>
      </w:r>
    </w:p>
    <w:p>
      <w:pPr>
        <w:spacing w:after="120" w:before="240" w:line="312" w:lineRule="auto"/>
        <w:shd w:val="clear" w:fill="EAF1FB"/>
      </w:pPr>
      <w:r>
        <w:rPr>
          <w:rFonts w:ascii="微软雅黑" w:hAnsi="微软雅黑" w:eastAsia="微软雅黑"/>
          <w:b/>
          <w:i w:val="0"/>
          <w:color w:val="1E4E9C"/>
          <w:sz w:val="30"/>
        </w:rPr>
        <w:t>◆ 在线招聘板块</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智联招聘：三季度快报出炉，养老/看护增速43.9%登顶，应届AI工程师月薪17775元</w:t>
      </w:r>
    </w:p>
    <w:p>
      <w:pPr>
        <w:spacing w:after="140" w:before="0" w:line="312" w:lineRule="auto"/>
        <w:ind w:left="113"/>
      </w:pPr>
      <w:r>
        <w:rPr>
          <w:rFonts w:ascii="微软雅黑" w:hAnsi="微软雅黑" w:eastAsia="微软雅黑"/>
          <w:b w:val="0"/>
          <w:i w:val="0"/>
          <w:color w:val="202833"/>
          <w:sz w:val="22"/>
        </w:rPr>
        <w:t>智联招聘《2026年三季度人才市场热点快报》显示，三季度招聘市场延续以新质生产力为引领的格局：养老/看护行业以43.9%的职位数同比增速位居所有行业首位，新材料增长14.8%、大数据增长10.2%，航空航天、人工智能、新能源保持增长。</w:t>
      </w:r>
    </w:p>
    <w:p>
      <w:pPr>
        <w:spacing w:after="140" w:before="0" w:line="312" w:lineRule="auto"/>
        <w:ind w:left="113"/>
      </w:pPr>
      <w:r>
        <w:rPr>
          <w:rFonts w:ascii="微软雅黑" w:hAnsi="微软雅黑" w:eastAsia="微软雅黑"/>
          <w:b w:val="0"/>
          <w:i w:val="0"/>
          <w:color w:val="202833"/>
          <w:sz w:val="22"/>
        </w:rPr>
        <w:t>紧缺程度更值得关注：临床研究/试验职位数同比增长42%，需供比达4.59；芯片工程师、汽车设计制造工程师、人工智能工程师需供比分别为1.80、1.74、1.53。应届生端，AI工程师职位数增长36.9%、平均月薪17775元；数据工程师增长57.4%、月薪10882元；芯片工程师增长43.6%、月薪14527元。</w:t>
      </w:r>
    </w:p>
    <w:p>
      <w:pPr>
        <w:spacing w:after="140" w:before="0" w:line="312" w:lineRule="auto"/>
        <w:ind w:left="113"/>
      </w:pPr>
      <w:r>
        <w:rPr>
          <w:rFonts w:ascii="微软雅黑" w:hAnsi="微软雅黑" w:eastAsia="微软雅黑"/>
          <w:b w:val="0"/>
          <w:i w:val="0"/>
          <w:color w:val="202833"/>
          <w:sz w:val="22"/>
        </w:rPr>
        <w:t>从投递侧看，专用设备制造行业应届生投递量同比增长74.7%，养老/看护增长54.6%，汽车智能互联、工业自动化和机器人分别增长47.2%和43.8%。供需两端同时在向“硬科技＋民生服务”迁移。</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银行秋招AI面试加速“上岗”：35元/人 对比 5500元/天</w:t>
      </w:r>
    </w:p>
    <w:p>
      <w:pPr>
        <w:spacing w:after="140" w:before="0" w:line="312" w:lineRule="auto"/>
        <w:ind w:left="113"/>
      </w:pPr>
      <w:r>
        <w:rPr>
          <w:rFonts w:ascii="微软雅黑" w:hAnsi="微软雅黑" w:eastAsia="微软雅黑"/>
          <w:b w:val="0"/>
          <w:i w:val="0"/>
          <w:color w:val="202833"/>
          <w:sz w:val="22"/>
        </w:rPr>
        <w:t>随着2027届秋招启动，工商银行、中国银行、招商银行、平安银行、杭州银行、九江银行等相继把AI面试纳入校招流程，普遍置于简历筛选之后、笔试之前，题目集中于行为测试，部分中英文交替，时长从几分钟到几十分钟。</w:t>
      </w:r>
    </w:p>
    <w:p>
      <w:pPr>
        <w:spacing w:after="140" w:before="0" w:line="312" w:lineRule="auto"/>
        <w:ind w:left="113"/>
      </w:pPr>
      <w:r>
        <w:rPr>
          <w:rFonts w:ascii="微软雅黑" w:hAnsi="微软雅黑" w:eastAsia="微软雅黑"/>
          <w:b w:val="0"/>
          <w:i w:val="0"/>
          <w:color w:val="202833"/>
          <w:sz w:val="22"/>
        </w:rPr>
        <w:t>驱动因素是缩招与成本：2026年工、农、中、建四大行合计释放校园招聘岗位约6.4万个，同比缩减7000余个；AI面试成本约35元/人，而一名线下面试官成本约5500元/天。业内普遍将其定位为初筛工具——7×24小时采集、统一题库、全程留痕，降低主观偏差，最终录用仍由真人面试决定。</w:t>
      </w:r>
    </w:p>
    <w:p>
      <w:pPr>
        <w:spacing w:after="140" w:before="0" w:line="312" w:lineRule="auto"/>
        <w:ind w:left="113"/>
      </w:pPr>
      <w:r>
        <w:rPr>
          <w:rFonts w:ascii="微软雅黑" w:hAnsi="微软雅黑" w:eastAsia="微软雅黑"/>
          <w:b w:val="0"/>
          <w:i w:val="0"/>
          <w:color w:val="202833"/>
          <w:sz w:val="22"/>
        </w:rPr>
        <w:t>但候选人体验分化明显。对招聘方而言这是效率工具，对求职者而言则意味着“被算法初判”。AI面试的评分维度、申诉渠道与数据留存期限，正在成为新的雇主品牌议题。</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具身智能秋招：50万年薪被称“白菜价”，但HC极少、实习转正成主流</w:t>
      </w:r>
    </w:p>
    <w:p>
      <w:pPr>
        <w:spacing w:after="140" w:before="0" w:line="312" w:lineRule="auto"/>
        <w:ind w:left="113"/>
      </w:pPr>
      <w:r>
        <w:rPr>
          <w:rFonts w:ascii="微软雅黑" w:hAnsi="微软雅黑" w:eastAsia="微软雅黑"/>
          <w:b w:val="0"/>
          <w:i w:val="0"/>
          <w:color w:val="202833"/>
          <w:sz w:val="22"/>
        </w:rPr>
        <w:t>第一财经报道，宇树科技、智元、自变量、银河通用等已开启2027届秋招，阿里、腾讯、京东等大厂同步加入争夺。部分优秀应届硕士拿到百万年薪offer，50万元上下在行业内被称为“白菜价”，多数求职者目标区间为60万至80万元。</w:t>
      </w:r>
    </w:p>
    <w:p>
      <w:pPr>
        <w:spacing w:after="140" w:before="0" w:line="312" w:lineRule="auto"/>
        <w:ind w:left="113"/>
      </w:pPr>
      <w:r>
        <w:rPr>
          <w:rFonts w:ascii="微软雅黑" w:hAnsi="微软雅黑" w:eastAsia="微软雅黑"/>
          <w:b w:val="0"/>
          <w:i w:val="0"/>
          <w:color w:val="202833"/>
          <w:sz w:val="22"/>
        </w:rPr>
        <w:t>高薪背后是极窄的入口：多位求职学生了解到，部分估值超200亿元的初创企业秋招需求不足二三十人，百人规模在行业内少见；模型类岗位普遍要求硕士、双一流乃至C9背景，实习经历与论文质量权重高于学历。更值得注意的趋势是“实习转正offer”成为多数企业做法——先到岗考察，再决定是否发放正式offer，用人风险被后置到毕业生一侧。</w:t>
      </w:r>
    </w:p>
    <w:p>
      <w:pPr>
        <w:spacing w:after="140" w:before="0" w:line="312" w:lineRule="auto"/>
        <w:ind w:left="113"/>
      </w:pPr>
      <w:r>
        <w:rPr>
          <w:rFonts w:ascii="微软雅黑" w:hAnsi="微软雅黑" w:eastAsia="微软雅黑"/>
          <w:b w:val="0"/>
          <w:i w:val="0"/>
          <w:color w:val="202833"/>
          <w:sz w:val="22"/>
        </w:rPr>
        <w:t>这形成了一个典型的结构性错配：高端算法人才严重稀缺，泛技术背景候选人供给充足，中间层“能做但不精”的候选人反而最难落地。</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BOSS直聘：155款应用拒绝接入豆包手机助手，AI入口权限之争浮出水面</w:t>
      </w:r>
    </w:p>
    <w:p>
      <w:pPr>
        <w:spacing w:after="140" w:before="0" w:line="312" w:lineRule="auto"/>
        <w:ind w:left="113"/>
      </w:pPr>
      <w:r>
        <w:rPr>
          <w:rFonts w:ascii="微软雅黑" w:hAnsi="微软雅黑" w:eastAsia="微软雅黑"/>
          <w:b w:val="0"/>
          <w:i w:val="0"/>
          <w:color w:val="202833"/>
          <w:sz w:val="22"/>
        </w:rPr>
        <w:t>10月中旬，媒体统计显示包括微信、淘宝、小红书、拼多多、BOSS直聘、滴滴、WPS、招商银行及三大运营商应用在内的155款应用，拒绝接入豆包手机助手通过GUI识别屏幕、模拟点击滑动代替用户操作的能力。</w:t>
      </w:r>
    </w:p>
    <w:p>
      <w:pPr>
        <w:spacing w:after="140" w:before="0" w:line="312" w:lineRule="auto"/>
        <w:ind w:left="113"/>
      </w:pPr>
      <w:r>
        <w:rPr>
          <w:rFonts w:ascii="微软雅黑" w:hAnsi="微软雅黑" w:eastAsia="微软雅黑"/>
          <w:b w:val="0"/>
          <w:i w:val="0"/>
          <w:color w:val="202833"/>
          <w:sz w:val="22"/>
        </w:rPr>
        <w:t>对招聘平台而言，这不是一次普通的产品摩擦，而是“流量入口主权”问题：若AI助手可代替用户操作App，职位推荐、直聊沟通、简历投递的商业闭环将被外部Agent截流，平台多年积累的匹配数据与付费转化路径都会被动摇。</w:t>
      </w:r>
    </w:p>
    <w:p>
      <w:pPr>
        <w:spacing w:after="140" w:before="0" w:line="312" w:lineRule="auto"/>
        <w:ind w:left="113"/>
      </w:pPr>
      <w:r>
        <w:rPr>
          <w:rFonts w:ascii="微软雅黑" w:hAnsi="微软雅黑" w:eastAsia="微软雅黑"/>
          <w:b w:val="0"/>
          <w:i w:val="0"/>
          <w:color w:val="202833"/>
          <w:sz w:val="22"/>
        </w:rPr>
        <w:t>资本市场层面，BOSS直聘近期在美股中概股普跌背景下逆势上涨2.26%，显示投资者对其现金流与竞争位势仍相对认可。但AI入口的开放边界，将是未来一年招聘平台估值的关键变量。</w:t>
      </w:r>
    </w:p>
    <w:p>
      <w:pPr>
        <w:spacing w:after="200" w:line="312" w:lineRule="auto"/>
        <w:ind w:left="113"/>
        <w:shd w:val="clear" w:fill="EAF1FB"/>
      </w:pPr>
      <w:r>
        <w:rPr>
          <w:rFonts w:ascii="微软雅黑" w:hAnsi="微软雅黑" w:eastAsia="微软雅黑"/>
          <w:b/>
          <w:i w:val="0"/>
          <w:color w:val="F57C00"/>
          <w:sz w:val="22"/>
        </w:rPr>
        <w:t>判断：</w:t>
      </w:r>
      <w:r>
        <w:rPr>
          <w:rFonts w:ascii="微软雅黑" w:hAnsi="微软雅黑" w:eastAsia="微软雅黑"/>
          <w:b w:val="0"/>
          <w:i w:val="0"/>
          <w:color w:val="202833"/>
          <w:sz w:val="22"/>
        </w:rPr>
        <w:t>在线招聘的增量已明确落在“照护服务＋硬科技”两端，平台竞争焦点从职位数量转向三件事：数据可信度、AI初筛的合规性、以及AI入口的权限控制权。</w:t>
      </w:r>
    </w:p>
    <w:p>
      <w:pPr>
        <w:spacing w:after="120" w:before="240" w:line="312" w:lineRule="auto"/>
        <w:shd w:val="clear" w:fill="EAF1FB"/>
      </w:pPr>
      <w:r>
        <w:rPr>
          <w:rFonts w:ascii="微软雅黑" w:hAnsi="微软雅黑" w:eastAsia="微软雅黑"/>
          <w:b/>
          <w:i w:val="0"/>
          <w:color w:val="1E4E9C"/>
          <w:sz w:val="30"/>
        </w:rPr>
        <w:t>◆ 出国劳务板块</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商务部数据：1—8月外派劳务31.5万人，月末在外68.1万人</w:t>
      </w:r>
    </w:p>
    <w:p>
      <w:pPr>
        <w:spacing w:after="140" w:before="0" w:line="312" w:lineRule="auto"/>
        <w:ind w:left="113"/>
      </w:pPr>
      <w:r>
        <w:rPr>
          <w:rFonts w:ascii="微软雅黑" w:hAnsi="微软雅黑" w:eastAsia="微软雅黑"/>
          <w:b w:val="0"/>
          <w:i w:val="0"/>
          <w:color w:val="202833"/>
          <w:sz w:val="22"/>
        </w:rPr>
        <w:t>商务部对外投资和经济合作司统计显示，2026年1—8月，我国企业共向境外派出各类劳务人员31.5万人，较上年同期增加4.4万人；其中承包工程项下派出9.2万人，劳务合作项下派出22.3万人。8月末在外各类劳务人员68.1万人。</w:t>
      </w:r>
    </w:p>
    <w:p>
      <w:pPr>
        <w:spacing w:after="140" w:before="0" w:line="312" w:lineRule="auto"/>
        <w:ind w:left="113"/>
      </w:pPr>
      <w:r>
        <w:rPr>
          <w:rFonts w:ascii="微软雅黑" w:hAnsi="微软雅黑" w:eastAsia="微软雅黑"/>
          <w:b w:val="0"/>
          <w:i w:val="0"/>
          <w:color w:val="202833"/>
          <w:sz w:val="22"/>
        </w:rPr>
        <w:t>结构上，纯劳务合作项下派出人数已是承包工程项下的2.4倍，说明出国劳务的需求来源正从“工程带动”转向“产业服务带动”——制造业产线、护理照护、餐饮酒店、跨境电商仓储等常态化岗位的占比在上升，这对输出机构的境外雇主开发能力、语言培训与落地服务提出了更高要求。</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对外承包工程：营业额增5.8%，新签合同额降3.0%，“存量强、增量弱”</w:t>
      </w:r>
    </w:p>
    <w:p>
      <w:pPr>
        <w:spacing w:after="140" w:before="0" w:line="312" w:lineRule="auto"/>
        <w:ind w:left="113"/>
      </w:pPr>
      <w:r>
        <w:rPr>
          <w:rFonts w:ascii="微软雅黑" w:hAnsi="微软雅黑" w:eastAsia="微软雅黑"/>
          <w:b w:val="0"/>
          <w:i w:val="0"/>
          <w:color w:val="202833"/>
          <w:sz w:val="22"/>
        </w:rPr>
        <w:t>2026年1—8月，我国对外承包工程业务完成营业额7937.1亿元人民币，同比增长5.8%（以美元计1156.1亿美元，增长9.9%）；新签合同额11763.2亿元人民币，下降3.0%（以美元计1713.4亿美元，微增0.7%）。</w:t>
      </w:r>
    </w:p>
    <w:p>
      <w:pPr>
        <w:spacing w:after="140" w:before="0" w:line="312" w:lineRule="auto"/>
        <w:ind w:left="113"/>
      </w:pPr>
      <w:r>
        <w:rPr>
          <w:rFonts w:ascii="微软雅黑" w:hAnsi="微软雅黑" w:eastAsia="微软雅黑"/>
          <w:b w:val="0"/>
          <w:i w:val="0"/>
          <w:color w:val="202833"/>
          <w:sz w:val="22"/>
        </w:rPr>
        <w:t>这组数据呈现出明显的“执行强、接单弱”特征：在手项目推进顺畅，但新增订单承压，且人民币口径与新签美元口径的背离，反映出汇率与合同计价结构的影响。对劳务输出机构而言，这意味着未来6—12个月的外派岗位更多来自存量项目，新增市场的开拓需要更早布局。</w:t>
      </w:r>
    </w:p>
    <w:tbl>
      <w:tblPr>
        <w:tblW w:type="auto" w:w="0"/>
        <w:jc w:val="center"/>
        <w:tblLook w:firstColumn="1" w:firstRow="1" w:lastColumn="0" w:lastRow="0" w:noHBand="0" w:noVBand="1" w:val="04A0"/>
      </w:tblPr>
      <w:tblGrid>
        <w:gridCol w:w="1994"/>
        <w:gridCol w:w="1994"/>
        <w:gridCol w:w="1994"/>
        <w:gridCol w:w="1994"/>
        <w:gridCol w:w="1994"/>
      </w:tblGrid>
      <w:tr>
        <w:tc>
          <w:tcPr>
            <w:tcW w:type="dxa" w:w="3402"/>
            <w:vAlign w:val="center"/>
            <w:shd w:val="clear" w:fill="0F2452"/>
          </w:tcPr>
          <w:p>
            <w:pPr>
              <w:jc w:val="center"/>
            </w:pPr>
            <w:r/>
            <w:r>
              <w:rPr>
                <w:rFonts w:ascii="微软雅黑" w:hAnsi="微软雅黑" w:eastAsia="微软雅黑"/>
                <w:b/>
                <w:i w:val="0"/>
                <w:color w:val="FFFFFF"/>
                <w:sz w:val="21"/>
              </w:rPr>
              <w:t>指标（2026年1—8月）</w:t>
            </w:r>
          </w:p>
        </w:tc>
        <w:tc>
          <w:tcPr>
            <w:tcW w:type="dxa" w:w="1701"/>
            <w:vAlign w:val="center"/>
            <w:shd w:val="clear" w:fill="0F2452"/>
          </w:tcPr>
          <w:p>
            <w:pPr>
              <w:jc w:val="center"/>
            </w:pPr>
            <w:r/>
            <w:r>
              <w:rPr>
                <w:rFonts w:ascii="微软雅黑" w:hAnsi="微软雅黑" w:eastAsia="微软雅黑"/>
                <w:b/>
                <w:i w:val="0"/>
                <w:color w:val="FFFFFF"/>
                <w:sz w:val="21"/>
              </w:rPr>
              <w:t>人民币口径</w:t>
            </w:r>
          </w:p>
        </w:tc>
        <w:tc>
          <w:tcPr>
            <w:tcW w:type="dxa" w:w="1134"/>
            <w:vAlign w:val="center"/>
            <w:shd w:val="clear" w:fill="0F2452"/>
          </w:tcPr>
          <w:p>
            <w:pPr>
              <w:jc w:val="center"/>
            </w:pPr>
            <w:r/>
            <w:r>
              <w:rPr>
                <w:rFonts w:ascii="微软雅黑" w:hAnsi="微软雅黑" w:eastAsia="微软雅黑"/>
                <w:b/>
                <w:i w:val="0"/>
                <w:color w:val="FFFFFF"/>
                <w:sz w:val="21"/>
              </w:rPr>
              <w:t>同比</w:t>
            </w:r>
          </w:p>
        </w:tc>
        <w:tc>
          <w:tcPr>
            <w:tcW w:type="dxa" w:w="1814"/>
            <w:vAlign w:val="center"/>
            <w:shd w:val="clear" w:fill="0F2452"/>
          </w:tcPr>
          <w:p>
            <w:pPr>
              <w:jc w:val="center"/>
            </w:pPr>
            <w:r/>
            <w:r>
              <w:rPr>
                <w:rFonts w:ascii="微软雅黑" w:hAnsi="微软雅黑" w:eastAsia="微软雅黑"/>
                <w:b/>
                <w:i w:val="0"/>
                <w:color w:val="FFFFFF"/>
                <w:sz w:val="21"/>
              </w:rPr>
              <w:t>美元口径</w:t>
            </w:r>
          </w:p>
        </w:tc>
        <w:tc>
          <w:tcPr>
            <w:tcW w:type="dxa" w:w="1134"/>
            <w:vAlign w:val="center"/>
            <w:shd w:val="clear" w:fill="0F2452"/>
          </w:tcPr>
          <w:p>
            <w:pPr>
              <w:jc w:val="center"/>
            </w:pPr>
            <w:r/>
            <w:r>
              <w:rPr>
                <w:rFonts w:ascii="微软雅黑" w:hAnsi="微软雅黑" w:eastAsia="微软雅黑"/>
                <w:b/>
                <w:i w:val="0"/>
                <w:color w:val="FFFFFF"/>
                <w:sz w:val="21"/>
              </w:rPr>
              <w:t>同比</w:t>
            </w:r>
          </w:p>
        </w:tc>
      </w:tr>
      <w:tr>
        <w:tc>
          <w:tcPr>
            <w:tcW w:type="dxa" w:w="3402"/>
            <w:vAlign w:val="center"/>
          </w:tcPr>
          <w:p>
            <w:pPr>
              <w:jc w:val="center"/>
            </w:pPr>
            <w:r/>
            <w:r>
              <w:rPr>
                <w:rFonts w:ascii="微软雅黑" w:hAnsi="微软雅黑" w:eastAsia="微软雅黑"/>
                <w:b w:val="0"/>
                <w:i w:val="0"/>
                <w:color w:val="202833"/>
                <w:sz w:val="20"/>
              </w:rPr>
              <w:t>对外承包工程完成营业额</w:t>
            </w:r>
          </w:p>
        </w:tc>
        <w:tc>
          <w:tcPr>
            <w:tcW w:type="dxa" w:w="1701"/>
            <w:vAlign w:val="center"/>
          </w:tcPr>
          <w:p>
            <w:pPr>
              <w:jc w:val="center"/>
            </w:pPr>
            <w:r/>
            <w:r>
              <w:rPr>
                <w:rFonts w:ascii="微软雅黑" w:hAnsi="微软雅黑" w:eastAsia="微软雅黑"/>
                <w:b w:val="0"/>
                <w:i w:val="0"/>
                <w:color w:val="202833"/>
                <w:sz w:val="20"/>
              </w:rPr>
              <w:t>7937.1亿元</w:t>
            </w:r>
          </w:p>
        </w:tc>
        <w:tc>
          <w:tcPr>
            <w:tcW w:type="dxa" w:w="1134"/>
            <w:vAlign w:val="center"/>
          </w:tcPr>
          <w:p>
            <w:pPr>
              <w:jc w:val="center"/>
            </w:pPr>
            <w:r/>
            <w:r>
              <w:rPr>
                <w:rFonts w:ascii="微软雅黑" w:hAnsi="微软雅黑" w:eastAsia="微软雅黑"/>
                <w:b w:val="0"/>
                <w:i w:val="0"/>
                <w:color w:val="202833"/>
                <w:sz w:val="20"/>
              </w:rPr>
              <w:t>+5.8%</w:t>
            </w:r>
          </w:p>
        </w:tc>
        <w:tc>
          <w:tcPr>
            <w:tcW w:type="dxa" w:w="1814"/>
            <w:vAlign w:val="center"/>
          </w:tcPr>
          <w:p>
            <w:pPr>
              <w:jc w:val="center"/>
            </w:pPr>
            <w:r/>
            <w:r>
              <w:rPr>
                <w:rFonts w:ascii="微软雅黑" w:hAnsi="微软雅黑" w:eastAsia="微软雅黑"/>
                <w:b w:val="0"/>
                <w:i w:val="0"/>
                <w:color w:val="202833"/>
                <w:sz w:val="20"/>
              </w:rPr>
              <w:t>1156.1亿美元</w:t>
            </w:r>
          </w:p>
        </w:tc>
        <w:tc>
          <w:tcPr>
            <w:tcW w:type="dxa" w:w="1134"/>
            <w:vAlign w:val="center"/>
          </w:tcPr>
          <w:p>
            <w:pPr>
              <w:jc w:val="center"/>
            </w:pPr>
            <w:r/>
            <w:r>
              <w:rPr>
                <w:rFonts w:ascii="微软雅黑" w:hAnsi="微软雅黑" w:eastAsia="微软雅黑"/>
                <w:b w:val="0"/>
                <w:i w:val="0"/>
                <w:color w:val="202833"/>
                <w:sz w:val="20"/>
              </w:rPr>
              <w:t>+9.9%</w:t>
            </w:r>
          </w:p>
        </w:tc>
      </w:tr>
      <w:tr>
        <w:tc>
          <w:tcPr>
            <w:tcW w:type="dxa" w:w="3402"/>
            <w:vAlign w:val="center"/>
            <w:shd w:val="clear" w:fill="EAF1FB"/>
          </w:tcPr>
          <w:p>
            <w:pPr>
              <w:jc w:val="center"/>
            </w:pPr>
            <w:r/>
            <w:r>
              <w:rPr>
                <w:rFonts w:ascii="微软雅黑" w:hAnsi="微软雅黑" w:eastAsia="微软雅黑"/>
                <w:b w:val="0"/>
                <w:i w:val="0"/>
                <w:color w:val="202833"/>
                <w:sz w:val="20"/>
              </w:rPr>
              <w:t>对外承包工程新签合同额</w:t>
            </w:r>
          </w:p>
        </w:tc>
        <w:tc>
          <w:tcPr>
            <w:tcW w:type="dxa" w:w="1701"/>
            <w:vAlign w:val="center"/>
            <w:shd w:val="clear" w:fill="EAF1FB"/>
          </w:tcPr>
          <w:p>
            <w:pPr>
              <w:jc w:val="center"/>
            </w:pPr>
            <w:r/>
            <w:r>
              <w:rPr>
                <w:rFonts w:ascii="微软雅黑" w:hAnsi="微软雅黑" w:eastAsia="微软雅黑"/>
                <w:b w:val="0"/>
                <w:i w:val="0"/>
                <w:color w:val="202833"/>
                <w:sz w:val="20"/>
              </w:rPr>
              <w:t>11763.2亿元</w:t>
            </w:r>
          </w:p>
        </w:tc>
        <w:tc>
          <w:tcPr>
            <w:tcW w:type="dxa" w:w="1134"/>
            <w:vAlign w:val="center"/>
            <w:shd w:val="clear" w:fill="EAF1FB"/>
          </w:tcPr>
          <w:p>
            <w:pPr>
              <w:jc w:val="center"/>
            </w:pPr>
            <w:r/>
            <w:r>
              <w:rPr>
                <w:rFonts w:ascii="微软雅黑" w:hAnsi="微软雅黑" w:eastAsia="微软雅黑"/>
                <w:b w:val="0"/>
                <w:i w:val="0"/>
                <w:color w:val="202833"/>
                <w:sz w:val="20"/>
              </w:rPr>
              <w:t>-3.0%</w:t>
            </w:r>
          </w:p>
        </w:tc>
        <w:tc>
          <w:tcPr>
            <w:tcW w:type="dxa" w:w="1814"/>
            <w:vAlign w:val="center"/>
            <w:shd w:val="clear" w:fill="EAF1FB"/>
          </w:tcPr>
          <w:p>
            <w:pPr>
              <w:jc w:val="center"/>
            </w:pPr>
            <w:r/>
            <w:r>
              <w:rPr>
                <w:rFonts w:ascii="微软雅黑" w:hAnsi="微软雅黑" w:eastAsia="微软雅黑"/>
                <w:b w:val="0"/>
                <w:i w:val="0"/>
                <w:color w:val="202833"/>
                <w:sz w:val="20"/>
              </w:rPr>
              <w:t>1713.4亿美元</w:t>
            </w:r>
          </w:p>
        </w:tc>
        <w:tc>
          <w:tcPr>
            <w:tcW w:type="dxa" w:w="1134"/>
            <w:vAlign w:val="center"/>
            <w:shd w:val="clear" w:fill="EAF1FB"/>
          </w:tcPr>
          <w:p>
            <w:pPr>
              <w:jc w:val="center"/>
            </w:pPr>
            <w:r/>
            <w:r>
              <w:rPr>
                <w:rFonts w:ascii="微软雅黑" w:hAnsi="微软雅黑" w:eastAsia="微软雅黑"/>
                <w:b w:val="0"/>
                <w:i w:val="0"/>
                <w:color w:val="202833"/>
                <w:sz w:val="20"/>
              </w:rPr>
              <w:t>+0.7%</w:t>
            </w:r>
          </w:p>
        </w:tc>
      </w:tr>
      <w:tr>
        <w:tc>
          <w:tcPr>
            <w:tcW w:type="dxa" w:w="3402"/>
            <w:vAlign w:val="center"/>
          </w:tcPr>
          <w:p>
            <w:pPr>
              <w:jc w:val="center"/>
            </w:pPr>
            <w:r/>
            <w:r>
              <w:rPr>
                <w:rFonts w:ascii="微软雅黑" w:hAnsi="微软雅黑" w:eastAsia="微软雅黑"/>
                <w:b w:val="0"/>
                <w:i w:val="0"/>
                <w:color w:val="202833"/>
                <w:sz w:val="20"/>
              </w:rPr>
              <w:t>派出各类劳务人员</w:t>
            </w:r>
          </w:p>
        </w:tc>
        <w:tc>
          <w:tcPr>
            <w:tcW w:type="dxa" w:w="1701"/>
            <w:vAlign w:val="center"/>
          </w:tcPr>
          <w:p>
            <w:pPr>
              <w:jc w:val="center"/>
            </w:pPr>
            <w:r/>
            <w:r>
              <w:rPr>
                <w:rFonts w:ascii="微软雅黑" w:hAnsi="微软雅黑" w:eastAsia="微软雅黑"/>
                <w:b w:val="0"/>
                <w:i w:val="0"/>
                <w:color w:val="202833"/>
                <w:sz w:val="20"/>
              </w:rPr>
              <w:t>31.5万人</w:t>
            </w:r>
          </w:p>
        </w:tc>
        <w:tc>
          <w:tcPr>
            <w:tcW w:type="dxa" w:w="1134"/>
            <w:vAlign w:val="center"/>
          </w:tcPr>
          <w:p>
            <w:pPr>
              <w:jc w:val="center"/>
            </w:pPr>
            <w:r/>
            <w:r>
              <w:rPr>
                <w:rFonts w:ascii="微软雅黑" w:hAnsi="微软雅黑" w:eastAsia="微软雅黑"/>
                <w:b w:val="0"/>
                <w:i w:val="0"/>
                <w:color w:val="202833"/>
                <w:sz w:val="20"/>
              </w:rPr>
              <w:t>+4.4万人</w:t>
            </w:r>
          </w:p>
        </w:tc>
        <w:tc>
          <w:tcPr>
            <w:tcW w:type="dxa" w:w="1814"/>
            <w:vAlign w:val="center"/>
          </w:tcPr>
          <w:p>
            <w:pPr>
              <w:jc w:val="center"/>
            </w:pPr>
            <w:r/>
            <w:r>
              <w:rPr>
                <w:rFonts w:ascii="微软雅黑" w:hAnsi="微软雅黑" w:eastAsia="微软雅黑"/>
                <w:b w:val="0"/>
                <w:i w:val="0"/>
                <w:color w:val="202833"/>
                <w:sz w:val="20"/>
              </w:rPr>
              <w:t>—</w:t>
            </w:r>
          </w:p>
        </w:tc>
        <w:tc>
          <w:tcPr>
            <w:tcW w:type="dxa" w:w="1134"/>
            <w:vAlign w:val="center"/>
          </w:tcPr>
          <w:p>
            <w:pPr>
              <w:jc w:val="center"/>
            </w:pPr>
            <w:r/>
            <w:r>
              <w:rPr>
                <w:rFonts w:ascii="微软雅黑" w:hAnsi="微软雅黑" w:eastAsia="微软雅黑"/>
                <w:b w:val="0"/>
                <w:i w:val="0"/>
                <w:color w:val="202833"/>
                <w:sz w:val="20"/>
              </w:rPr>
              <w:t>—</w:t>
            </w:r>
          </w:p>
        </w:tc>
      </w:tr>
      <w:tr>
        <w:tc>
          <w:tcPr>
            <w:tcW w:type="dxa" w:w="3402"/>
            <w:vAlign w:val="center"/>
            <w:shd w:val="clear" w:fill="EAF1FB"/>
          </w:tcPr>
          <w:p>
            <w:pPr>
              <w:jc w:val="center"/>
            </w:pPr>
            <w:r/>
            <w:r>
              <w:rPr>
                <w:rFonts w:ascii="微软雅黑" w:hAnsi="微软雅黑" w:eastAsia="微软雅黑"/>
                <w:b w:val="0"/>
                <w:i w:val="0"/>
                <w:color w:val="202833"/>
                <w:sz w:val="20"/>
              </w:rPr>
              <w:t>其中：承包工程项下</w:t>
            </w:r>
          </w:p>
        </w:tc>
        <w:tc>
          <w:tcPr>
            <w:tcW w:type="dxa" w:w="1701"/>
            <w:vAlign w:val="center"/>
            <w:shd w:val="clear" w:fill="EAF1FB"/>
          </w:tcPr>
          <w:p>
            <w:pPr>
              <w:jc w:val="center"/>
            </w:pPr>
            <w:r/>
            <w:r>
              <w:rPr>
                <w:rFonts w:ascii="微软雅黑" w:hAnsi="微软雅黑" w:eastAsia="微软雅黑"/>
                <w:b w:val="0"/>
                <w:i w:val="0"/>
                <w:color w:val="202833"/>
                <w:sz w:val="20"/>
              </w:rPr>
              <w:t>9.2万人</w:t>
            </w:r>
          </w:p>
        </w:tc>
        <w:tc>
          <w:tcPr>
            <w:tcW w:type="dxa" w:w="1134"/>
            <w:vAlign w:val="center"/>
            <w:shd w:val="clear" w:fill="EAF1FB"/>
          </w:tcPr>
          <w:p>
            <w:pPr>
              <w:jc w:val="center"/>
            </w:pPr>
            <w:r/>
            <w:r>
              <w:rPr>
                <w:rFonts w:ascii="微软雅黑" w:hAnsi="微软雅黑" w:eastAsia="微软雅黑"/>
                <w:b w:val="0"/>
                <w:i w:val="0"/>
                <w:color w:val="202833"/>
                <w:sz w:val="20"/>
              </w:rPr>
              <w:t>—</w:t>
            </w:r>
          </w:p>
        </w:tc>
        <w:tc>
          <w:tcPr>
            <w:tcW w:type="dxa" w:w="1814"/>
            <w:vAlign w:val="center"/>
            <w:shd w:val="clear" w:fill="EAF1FB"/>
          </w:tcPr>
          <w:p>
            <w:pPr>
              <w:jc w:val="center"/>
            </w:pPr>
            <w:r/>
            <w:r>
              <w:rPr>
                <w:rFonts w:ascii="微软雅黑" w:hAnsi="微软雅黑" w:eastAsia="微软雅黑"/>
                <w:b w:val="0"/>
                <w:i w:val="0"/>
                <w:color w:val="202833"/>
                <w:sz w:val="20"/>
              </w:rPr>
              <w:t>—</w:t>
            </w:r>
          </w:p>
        </w:tc>
        <w:tc>
          <w:tcPr>
            <w:tcW w:type="dxa" w:w="1134"/>
            <w:vAlign w:val="center"/>
            <w:shd w:val="clear" w:fill="EAF1FB"/>
          </w:tcPr>
          <w:p>
            <w:pPr>
              <w:jc w:val="center"/>
            </w:pPr>
            <w:r/>
            <w:r>
              <w:rPr>
                <w:rFonts w:ascii="微软雅黑" w:hAnsi="微软雅黑" w:eastAsia="微软雅黑"/>
                <w:b w:val="0"/>
                <w:i w:val="0"/>
                <w:color w:val="202833"/>
                <w:sz w:val="20"/>
              </w:rPr>
              <w:t>—</w:t>
            </w:r>
          </w:p>
        </w:tc>
      </w:tr>
      <w:tr>
        <w:tc>
          <w:tcPr>
            <w:tcW w:type="dxa" w:w="3402"/>
            <w:vAlign w:val="center"/>
          </w:tcPr>
          <w:p>
            <w:pPr>
              <w:jc w:val="center"/>
            </w:pPr>
            <w:r/>
            <w:r>
              <w:rPr>
                <w:rFonts w:ascii="微软雅黑" w:hAnsi="微软雅黑" w:eastAsia="微软雅黑"/>
                <w:b w:val="0"/>
                <w:i w:val="0"/>
                <w:color w:val="202833"/>
                <w:sz w:val="20"/>
              </w:rPr>
              <w:t>其中：劳务合作项下</w:t>
            </w:r>
          </w:p>
        </w:tc>
        <w:tc>
          <w:tcPr>
            <w:tcW w:type="dxa" w:w="1701"/>
            <w:vAlign w:val="center"/>
          </w:tcPr>
          <w:p>
            <w:pPr>
              <w:jc w:val="center"/>
            </w:pPr>
            <w:r/>
            <w:r>
              <w:rPr>
                <w:rFonts w:ascii="微软雅黑" w:hAnsi="微软雅黑" w:eastAsia="微软雅黑"/>
                <w:b w:val="0"/>
                <w:i w:val="0"/>
                <w:color w:val="202833"/>
                <w:sz w:val="20"/>
              </w:rPr>
              <w:t>22.3万人</w:t>
            </w:r>
          </w:p>
        </w:tc>
        <w:tc>
          <w:tcPr>
            <w:tcW w:type="dxa" w:w="1134"/>
            <w:vAlign w:val="center"/>
          </w:tcPr>
          <w:p>
            <w:pPr>
              <w:jc w:val="center"/>
            </w:pPr>
            <w:r/>
            <w:r>
              <w:rPr>
                <w:rFonts w:ascii="微软雅黑" w:hAnsi="微软雅黑" w:eastAsia="微软雅黑"/>
                <w:b w:val="0"/>
                <w:i w:val="0"/>
                <w:color w:val="202833"/>
                <w:sz w:val="20"/>
              </w:rPr>
              <w:t>—</w:t>
            </w:r>
          </w:p>
        </w:tc>
        <w:tc>
          <w:tcPr>
            <w:tcW w:type="dxa" w:w="1814"/>
            <w:vAlign w:val="center"/>
          </w:tcPr>
          <w:p>
            <w:pPr>
              <w:jc w:val="center"/>
            </w:pPr>
            <w:r/>
            <w:r>
              <w:rPr>
                <w:rFonts w:ascii="微软雅黑" w:hAnsi="微软雅黑" w:eastAsia="微软雅黑"/>
                <w:b w:val="0"/>
                <w:i w:val="0"/>
                <w:color w:val="202833"/>
                <w:sz w:val="20"/>
              </w:rPr>
              <w:t>—</w:t>
            </w:r>
          </w:p>
        </w:tc>
        <w:tc>
          <w:tcPr>
            <w:tcW w:type="dxa" w:w="1134"/>
            <w:vAlign w:val="center"/>
          </w:tcPr>
          <w:p>
            <w:pPr>
              <w:jc w:val="center"/>
            </w:pPr>
            <w:r/>
            <w:r>
              <w:rPr>
                <w:rFonts w:ascii="微软雅黑" w:hAnsi="微软雅黑" w:eastAsia="微软雅黑"/>
                <w:b w:val="0"/>
                <w:i w:val="0"/>
                <w:color w:val="202833"/>
                <w:sz w:val="20"/>
              </w:rPr>
              <w:t>—</w:t>
            </w:r>
          </w:p>
        </w:tc>
      </w:tr>
      <w:tr>
        <w:tc>
          <w:tcPr>
            <w:tcW w:type="dxa" w:w="3402"/>
            <w:vAlign w:val="center"/>
            <w:shd w:val="clear" w:fill="EAF1FB"/>
          </w:tcPr>
          <w:p>
            <w:pPr>
              <w:jc w:val="center"/>
            </w:pPr>
            <w:r/>
            <w:r>
              <w:rPr>
                <w:rFonts w:ascii="微软雅黑" w:hAnsi="微软雅黑" w:eastAsia="微软雅黑"/>
                <w:b w:val="0"/>
                <w:i w:val="0"/>
                <w:color w:val="202833"/>
                <w:sz w:val="20"/>
              </w:rPr>
              <w:t>月末在外劳务人员</w:t>
            </w:r>
          </w:p>
        </w:tc>
        <w:tc>
          <w:tcPr>
            <w:tcW w:type="dxa" w:w="1701"/>
            <w:vAlign w:val="center"/>
            <w:shd w:val="clear" w:fill="EAF1FB"/>
          </w:tcPr>
          <w:p>
            <w:pPr>
              <w:jc w:val="center"/>
            </w:pPr>
            <w:r/>
            <w:r>
              <w:rPr>
                <w:rFonts w:ascii="微软雅黑" w:hAnsi="微软雅黑" w:eastAsia="微软雅黑"/>
                <w:b w:val="0"/>
                <w:i w:val="0"/>
                <w:color w:val="202833"/>
                <w:sz w:val="20"/>
              </w:rPr>
              <w:t>68.1万人</w:t>
            </w:r>
          </w:p>
        </w:tc>
        <w:tc>
          <w:tcPr>
            <w:tcW w:type="dxa" w:w="1134"/>
            <w:vAlign w:val="center"/>
            <w:shd w:val="clear" w:fill="EAF1FB"/>
          </w:tcPr>
          <w:p>
            <w:pPr>
              <w:jc w:val="center"/>
            </w:pPr>
            <w:r/>
            <w:r>
              <w:rPr>
                <w:rFonts w:ascii="微软雅黑" w:hAnsi="微软雅黑" w:eastAsia="微软雅黑"/>
                <w:b w:val="0"/>
                <w:i w:val="0"/>
                <w:color w:val="202833"/>
                <w:sz w:val="20"/>
              </w:rPr>
              <w:t>—</w:t>
            </w:r>
          </w:p>
        </w:tc>
        <w:tc>
          <w:tcPr>
            <w:tcW w:type="dxa" w:w="1814"/>
            <w:vAlign w:val="center"/>
            <w:shd w:val="clear" w:fill="EAF1FB"/>
          </w:tcPr>
          <w:p>
            <w:pPr>
              <w:jc w:val="center"/>
            </w:pPr>
            <w:r/>
            <w:r>
              <w:rPr>
                <w:rFonts w:ascii="微软雅黑" w:hAnsi="微软雅黑" w:eastAsia="微软雅黑"/>
                <w:b w:val="0"/>
                <w:i w:val="0"/>
                <w:color w:val="202833"/>
                <w:sz w:val="20"/>
              </w:rPr>
              <w:t>—</w:t>
            </w:r>
          </w:p>
        </w:tc>
        <w:tc>
          <w:tcPr>
            <w:tcW w:type="dxa" w:w="1134"/>
            <w:vAlign w:val="center"/>
            <w:shd w:val="clear" w:fill="EAF1FB"/>
          </w:tcPr>
          <w:p>
            <w:pPr>
              <w:jc w:val="center"/>
            </w:pPr>
            <w:r/>
            <w:r>
              <w:rPr>
                <w:rFonts w:ascii="微软雅黑" w:hAnsi="微软雅黑" w:eastAsia="微软雅黑"/>
                <w:b w:val="0"/>
                <w:i w:val="0"/>
                <w:color w:val="202833"/>
                <w:sz w:val="20"/>
              </w:rPr>
              <w:t>—</w:t>
            </w:r>
          </w:p>
        </w:tc>
      </w:tr>
    </w:tbl>
    <w:p>
      <w:pPr>
        <w:spacing w:after="40"/>
      </w:pP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《对外承包工程管理条例（修订草案）》公开征求意见，11月9日截止</w:t>
      </w:r>
    </w:p>
    <w:p>
      <w:pPr>
        <w:spacing w:after="140" w:before="0" w:line="312" w:lineRule="auto"/>
        <w:ind w:left="113"/>
      </w:pPr>
      <w:r>
        <w:rPr>
          <w:rFonts w:ascii="微软雅黑" w:hAnsi="微软雅黑" w:eastAsia="微软雅黑"/>
          <w:b w:val="0"/>
          <w:i w:val="0"/>
          <w:color w:val="202833"/>
          <w:sz w:val="22"/>
        </w:rPr>
        <w:t>10月10日，商务部就《对外承包工程管理条例（修订草案）》公开征求意见，反馈截止11月9日。起草说明的导向很明确：进一步完善对外承包工程管理，引导“实力强、信誉好”的工程企业有序出海，推动高质量发展。</w:t>
      </w:r>
    </w:p>
    <w:p>
      <w:pPr>
        <w:spacing w:after="140" w:before="0" w:line="312" w:lineRule="auto"/>
        <w:ind w:left="113"/>
      </w:pPr>
      <w:r>
        <w:rPr>
          <w:rFonts w:ascii="微软雅黑" w:hAnsi="微软雅黑" w:eastAsia="微软雅黑"/>
          <w:b w:val="0"/>
          <w:i w:val="0"/>
          <w:color w:val="202833"/>
          <w:sz w:val="22"/>
        </w:rPr>
        <w:t>条例修订对劳务链条的影响是间接但深远的：承包工程项下外派人员管理、分包合规、境外安全保障，历来是出国劳务纠纷的高发环节。资质门槛与责任链条一旦明确，靠“挂靠资质、层层分包”生存的中小机构将加速出清。</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技能供给“国际化”提速：《北京协议》45国发布，鲁班工坊走过十年</w:t>
      </w:r>
    </w:p>
    <w:p>
      <w:pPr>
        <w:spacing w:after="140" w:before="0" w:line="312" w:lineRule="auto"/>
        <w:ind w:left="113"/>
      </w:pPr>
      <w:r>
        <w:rPr>
          <w:rFonts w:ascii="微软雅黑" w:hAnsi="微软雅黑" w:eastAsia="微软雅黑"/>
          <w:b w:val="0"/>
          <w:i w:val="0"/>
          <w:color w:val="202833"/>
          <w:sz w:val="22"/>
        </w:rPr>
        <w:t>10月17日，2026年世界职业技术教育发展大会闭幕，《世界职业技术教育标准框架》（《北京协议》）由45个国家共同发布，《中国职业教育白皮书2026》、鲁班工坊国家标准等同步推出。</w:t>
      </w:r>
    </w:p>
    <w:p>
      <w:pPr>
        <w:spacing w:after="140" w:before="0" w:line="312" w:lineRule="auto"/>
        <w:ind w:left="113"/>
      </w:pPr>
      <w:r>
        <w:rPr>
          <w:rFonts w:ascii="微软雅黑" w:hAnsi="微软雅黑" w:eastAsia="微软雅黑"/>
          <w:b w:val="0"/>
          <w:i w:val="0"/>
          <w:color w:val="202833"/>
          <w:sz w:val="22"/>
        </w:rPr>
        <w:t>供给端的底盘在扩大：人社部职业能力建设司披露，截至2025年我国技能劳动者总量超过2.2亿人，其中高技能人才超过7200万人，但“高技能人才仍然十分紧缺”。</w:t>
      </w:r>
    </w:p>
    <w:p>
      <w:pPr>
        <w:spacing w:after="140" w:before="0" w:line="312" w:lineRule="auto"/>
        <w:ind w:left="113"/>
      </w:pPr>
      <w:r>
        <w:rPr>
          <w:rFonts w:ascii="微软雅黑" w:hAnsi="微软雅黑" w:eastAsia="微软雅黑"/>
          <w:b w:val="0"/>
          <w:i w:val="0"/>
          <w:color w:val="202833"/>
          <w:sz w:val="22"/>
        </w:rPr>
        <w:t>这与出国劳务的升级路径高度契合——从“卖力气”到“卖技能”，职业标准互认是前置条件。同期广交会数据显示，3万多家参展企业中近20%已开展对外投资，为当地贡献就业岗位超20万个，“带着技能与标准出海”正在替代单纯的劳务输出。</w:t>
      </w:r>
    </w:p>
    <w:p>
      <w:pPr>
        <w:spacing w:after="200" w:line="312" w:lineRule="auto"/>
        <w:ind w:left="113"/>
        <w:shd w:val="clear" w:fill="EAF1FB"/>
      </w:pPr>
      <w:r>
        <w:rPr>
          <w:rFonts w:ascii="微软雅黑" w:hAnsi="微软雅黑" w:eastAsia="微软雅黑"/>
          <w:b/>
          <w:i w:val="0"/>
          <w:color w:val="F57C00"/>
          <w:sz w:val="22"/>
        </w:rPr>
        <w:t>判断：</w:t>
      </w:r>
      <w:r>
        <w:rPr>
          <w:rFonts w:ascii="微软雅黑" w:hAnsi="微软雅黑" w:eastAsia="微软雅黑"/>
          <w:b w:val="0"/>
          <w:i w:val="0"/>
          <w:color w:val="202833"/>
          <w:sz w:val="22"/>
        </w:rPr>
        <w:t>出国劳务正处在“存量项目支撑、增量订单承压、标准输出提速”的三重叠加期。机构的竞争力将从“渠道资源”转为“境外雇主开发＋跨境合规交付＋技能培训认证”的组合能力。</w:t>
      </w:r>
    </w:p>
    <w:p>
      <w:pPr>
        <w:spacing w:after="120" w:before="240" w:line="312" w:lineRule="auto"/>
        <w:shd w:val="clear" w:fill="EAF1FB"/>
      </w:pPr>
      <w:r>
        <w:rPr>
          <w:rFonts w:ascii="微软雅黑" w:hAnsi="微软雅黑" w:eastAsia="微软雅黑"/>
          <w:b/>
          <w:i w:val="0"/>
          <w:color w:val="1E4E9C"/>
          <w:sz w:val="30"/>
        </w:rPr>
        <w:t>◆ 灵活用工板块</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新就业形态保障办法征求意见：三类形态、算法取中、责任穿透</w:t>
      </w:r>
    </w:p>
    <w:p>
      <w:pPr>
        <w:spacing w:after="140" w:before="0" w:line="312" w:lineRule="auto"/>
        <w:ind w:left="113"/>
      </w:pPr>
      <w:r>
        <w:rPr>
          <w:rFonts w:ascii="微软雅黑" w:hAnsi="微软雅黑" w:eastAsia="微软雅黑"/>
          <w:b w:val="0"/>
          <w:i w:val="0"/>
          <w:color w:val="202833"/>
          <w:sz w:val="22"/>
        </w:rPr>
        <w:t>人社部《新就业形态劳动者权益保障办法（征求意见稿）》将新就业形态细化为三类：一是平台或合作企业形成支配性劳动管理的，按劳动关系签订劳动合同；二是有劳动管理但不符合确立劳动关系情形的，签订书面用工协议，多方共同管理的订立三方协议；三是个人依托平台自主经营、从事自由职业的，不适用本办法。</w:t>
      </w:r>
    </w:p>
    <w:p>
      <w:pPr>
        <w:spacing w:after="140" w:before="0" w:line="312" w:lineRule="auto"/>
        <w:ind w:left="113"/>
      </w:pPr>
      <w:r>
        <w:rPr>
          <w:rFonts w:ascii="微软雅黑" w:hAnsi="微软雅黑" w:eastAsia="微软雅黑"/>
          <w:b w:val="0"/>
          <w:i w:val="0"/>
          <w:color w:val="202833"/>
          <w:sz w:val="22"/>
        </w:rPr>
        <w:t>三个制度设计值得关注：其一，“算法取中”原则，明确用人单位解释义务、自动化决策中的人工干预义务，并赋予工会监督与政府部门算法合理性审查权；其二，责任穿透机制，合作企业不具备合法经营资质的，平台承担用工主体责任；其三，明令禁止诱导劳动者注册个体工商户、通过多层转包规避用工责任。</w:t>
      </w:r>
    </w:p>
    <w:p>
      <w:pPr>
        <w:spacing w:after="140" w:before="0" w:line="312" w:lineRule="auto"/>
        <w:ind w:left="113"/>
      </w:pPr>
      <w:r>
        <w:rPr>
          <w:rFonts w:ascii="微软雅黑" w:hAnsi="微软雅黑" w:eastAsia="微软雅黑"/>
          <w:b w:val="0"/>
          <w:i w:val="0"/>
          <w:color w:val="202833"/>
          <w:sz w:val="22"/>
        </w:rPr>
        <w:t>中国劳动和社会保障科学研究院研究员黄昆认为，征求意见稿体现了监管有限性原则——算法监管范围限定在劳动规则之内，仅涉及报酬权、隐私权、救济申诉权等基本权利相关事项，既避免监管无限扩大妨碍技术创新，也抑制企业在算法制定中的单边与任意。</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从文件到现场：广东骑手算法协商开场，美团“红灯停表”进入测试</w:t>
      </w:r>
    </w:p>
    <w:p>
      <w:pPr>
        <w:spacing w:after="140" w:before="0" w:line="312" w:lineRule="auto"/>
        <w:ind w:left="113"/>
      </w:pPr>
      <w:r>
        <w:rPr>
          <w:rFonts w:ascii="微软雅黑" w:hAnsi="微软雅黑" w:eastAsia="微软雅黑"/>
          <w:b w:val="0"/>
          <w:i w:val="0"/>
          <w:color w:val="202833"/>
          <w:sz w:val="22"/>
        </w:rPr>
        <w:t>10月18日，2026年美团（广东）骑手劳动规则和算法协商征求意见会在广州举行，在广东省总工会、省委社会工作部、省人社厅、省市场监管局、广州市总工会等指导下，一线骑手与平台围绕派单规则、社会保障、劳动保护、骑手服务等议题直接协商。</w:t>
      </w:r>
    </w:p>
    <w:p>
      <w:pPr>
        <w:spacing w:after="140" w:before="0" w:line="312" w:lineRule="auto"/>
        <w:ind w:left="113"/>
      </w:pPr>
      <w:r>
        <w:rPr>
          <w:rFonts w:ascii="微软雅黑" w:hAnsi="微软雅黑" w:eastAsia="微软雅黑"/>
          <w:b w:val="0"/>
          <w:i w:val="0"/>
          <w:color w:val="202833"/>
          <w:sz w:val="22"/>
        </w:rPr>
        <w:t>平台侧的规则迭代已在落地：美团在苏州、北京、无锡等地测试“红灯停表”，接入交管部门实时信号灯数据，结合骑手位置、行驶方向与配送轨迹识别实际等灯时间并顺延最晚送达时间；上线骑手AI安全助手“团宝”，在等灯提示、事故风险预警、逆行识别等场景提供提醒。</w:t>
      </w:r>
    </w:p>
    <w:p>
      <w:pPr>
        <w:spacing w:after="140" w:before="0" w:line="312" w:lineRule="auto"/>
        <w:ind w:left="113"/>
      </w:pPr>
      <w:r>
        <w:rPr>
          <w:rFonts w:ascii="微软雅黑" w:hAnsi="微软雅黑" w:eastAsia="微软雅黑"/>
          <w:b w:val="0"/>
          <w:i w:val="0"/>
          <w:color w:val="202833"/>
          <w:sz w:val="22"/>
        </w:rPr>
        <w:t>保障层面，职业伤害保障已在全国推开：美团为全国骑手全额缴纳职业伤害保障费用、实现每单必保，并推出养老保险参保补贴分担一半缴费成本；滴滴落地职业伤害保障安排并设立公益救助项目。制度从“文本”走到“账单”，是这轮治理最实质的进展。</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照护用工与女性就业：养老价格新政落地，赣州开放“育儿岗位备案”</w:t>
      </w:r>
    </w:p>
    <w:p>
      <w:pPr>
        <w:spacing w:after="140" w:before="0" w:line="312" w:lineRule="auto"/>
        <w:ind w:left="113"/>
      </w:pPr>
      <w:r>
        <w:rPr>
          <w:rFonts w:ascii="微软雅黑" w:hAnsi="微软雅黑" w:eastAsia="微软雅黑"/>
          <w:b w:val="0"/>
          <w:i w:val="0"/>
          <w:color w:val="202833"/>
          <w:sz w:val="22"/>
        </w:rPr>
        <w:t>三部门普惠养老服务价格新政之外，地方层面的用工支持也在细化。江西赣州明确，对招用对12周岁以下儿童负有抚养义务的劳动者、并已发放工资及缴纳社保的企业开放岗位备案（劳务派遣单位、灵活用工平台企业除外），申报通过后可申请相关支持。</w:t>
      </w:r>
    </w:p>
    <w:p>
      <w:pPr>
        <w:spacing w:after="140" w:before="0" w:line="312" w:lineRule="auto"/>
        <w:ind w:left="113"/>
      </w:pPr>
      <w:r>
        <w:rPr>
          <w:rFonts w:ascii="微软雅黑" w:hAnsi="微软雅黑" w:eastAsia="微软雅黑"/>
          <w:b w:val="0"/>
          <w:i w:val="0"/>
          <w:color w:val="202833"/>
          <w:sz w:val="22"/>
        </w:rPr>
        <w:t>另据媒体梳理，新修订的妇女权益保障法实施以来，福建、上海、贵州等地相继出台条例，上海明确孕期、哺乳期女职工可协商居家办公。</w:t>
      </w:r>
    </w:p>
    <w:p>
      <w:pPr>
        <w:spacing w:after="140" w:before="0" w:line="312" w:lineRule="auto"/>
        <w:ind w:left="113"/>
      </w:pPr>
      <w:r>
        <w:rPr>
          <w:rFonts w:ascii="微软雅黑" w:hAnsi="微软雅黑" w:eastAsia="微软雅黑"/>
          <w:b w:val="0"/>
          <w:i w:val="0"/>
          <w:color w:val="202833"/>
          <w:sz w:val="22"/>
        </w:rPr>
        <w:t>这类政策的共同指向是“把灵活安排制度化”：对企业而言，弹性岗位不再是福利口号，而是可申报、可核算、可审计的用工安排；对灵活用工平台而言，这意味着标准化产品要能承载育儿、照护等特定场景的合规要求。</w:t>
      </w:r>
    </w:p>
    <w:p>
      <w:pPr>
        <w:spacing w:after="200" w:line="312" w:lineRule="auto"/>
        <w:ind w:left="113"/>
        <w:shd w:val="clear" w:fill="EAF1FB"/>
      </w:pPr>
      <w:r>
        <w:rPr>
          <w:rFonts w:ascii="微软雅黑" w:hAnsi="微软雅黑" w:eastAsia="微软雅黑"/>
          <w:b/>
          <w:i w:val="0"/>
          <w:color w:val="F57C00"/>
          <w:sz w:val="22"/>
        </w:rPr>
        <w:t>判断：</w:t>
      </w:r>
      <w:r>
        <w:rPr>
          <w:rFonts w:ascii="微软雅黑" w:hAnsi="微软雅黑" w:eastAsia="微软雅黑"/>
          <w:b w:val="0"/>
          <w:i w:val="0"/>
          <w:color w:val="202833"/>
          <w:sz w:val="22"/>
        </w:rPr>
        <w:t>灵活用工处在“立法定型＋平台自查＋供给提质”三期叠加的窗口：短期合规成本上升、单位用工价格上行；中期利好能把权益保障做成产品能力、把算法透明度做成交付标准的头部平台。</w:t>
      </w:r>
    </w:p>
    <w:p>
      <w:pPr>
        <w:spacing w:after="120" w:before="240" w:line="312" w:lineRule="auto"/>
        <w:shd w:val="clear" w:fill="EAF1FB"/>
      </w:pPr>
      <w:r>
        <w:rPr>
          <w:rFonts w:ascii="微软雅黑" w:hAnsi="微软雅黑" w:eastAsia="微软雅黑"/>
          <w:b/>
          <w:i w:val="0"/>
          <w:color w:val="1E4E9C"/>
          <w:sz w:val="30"/>
        </w:rPr>
        <w:t>◆ 投资创业板块</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HR科技“估值降温、投入加码”：TOP10一月缩水331亿美元，9月融资仍超10亿美元</w:t>
      </w:r>
    </w:p>
    <w:p>
      <w:pPr>
        <w:spacing w:after="140" w:before="0" w:line="312" w:lineRule="auto"/>
        <w:ind w:left="113"/>
      </w:pPr>
      <w:r>
        <w:rPr>
          <w:rFonts w:ascii="微软雅黑" w:hAnsi="微软雅黑" w:eastAsia="微软雅黑"/>
          <w:b w:val="0"/>
          <w:i w:val="0"/>
          <w:color w:val="202833"/>
          <w:sz w:val="22"/>
        </w:rPr>
        <w:t>HRTech《2026年10月全球行业观察》显示，截至10月2日收盘，全球HR上市公司市值TOP10合计约3783亿美元，较上期减少331亿美元，降幅8.0%；中国HR上市公司TOP10合计约721.97亿元人民币，下降10.7%。</w:t>
      </w:r>
    </w:p>
    <w:p>
      <w:pPr>
        <w:spacing w:after="140" w:before="0" w:line="312" w:lineRule="auto"/>
        <w:ind w:left="113"/>
      </w:pPr>
      <w:r>
        <w:rPr>
          <w:rFonts w:ascii="微软雅黑" w:hAnsi="微软雅黑" w:eastAsia="微软雅黑"/>
          <w:b w:val="0"/>
          <w:i w:val="0"/>
          <w:color w:val="202833"/>
          <w:sz w:val="22"/>
        </w:rPr>
        <w:t>一级市场却是另一幅景象：2026年9月全球HR科技共记录14起融资事件，已披露金额超过10亿美元；其中Angle Health融资6亿美元、HiBob融资1.66亿美元、Thatch融资1.08亿美元，三家合计8.74亿美元，占TOP10金额约84.9%。员工健康福利科技（Angle Health、Thatch、Nara Health合计7.22亿美元）成为最集中的方向。</w:t>
      </w:r>
    </w:p>
    <w:p>
      <w:pPr>
        <w:spacing w:after="140" w:before="0" w:line="312" w:lineRule="auto"/>
        <w:ind w:left="113"/>
      </w:pPr>
      <w:r>
        <w:rPr>
          <w:rFonts w:ascii="微软雅黑" w:hAnsi="微软雅黑" w:eastAsia="微软雅黑"/>
          <w:b w:val="0"/>
          <w:i w:val="0"/>
          <w:color w:val="202833"/>
          <w:sz w:val="22"/>
        </w:rPr>
        <w:t>判断逻辑已经切换：资本市场不再为“有AI功能”支付溢价，而是追问“AI能否形成独立收入、改善留存与交付效率”。国内已出现可用信号——云学堂AI相关产品月度经常性收入达440万元；猎聘AI产品综合现金回款接近100%增长；北森通过Mavens与AI HR专家，从HR SaaS向智能化业务服务延伸。</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一级市场周度扫描：代理式招聘与前端人才培养受追捧</w:t>
      </w:r>
    </w:p>
    <w:p>
      <w:pPr>
        <w:spacing w:after="140" w:before="0" w:line="312" w:lineRule="auto"/>
        <w:ind w:left="113"/>
      </w:pPr>
      <w:r>
        <w:rPr>
          <w:rFonts w:ascii="微软雅黑" w:hAnsi="微软雅黑" w:eastAsia="微软雅黑"/>
          <w:b w:val="0"/>
          <w:i w:val="0"/>
          <w:color w:val="202833"/>
          <w:sz w:val="22"/>
        </w:rPr>
        <w:t>AI招聘平台Metaview完成6000万美元C轮融资，由Insight Partners领投，GV、Intrepid Growth Partners、Seedcamp、Vertex Ventures US、Plural、Garuda Ventures跟投，累计融资达1.1亿美元。其定位是“代理式招聘”，通过AI Agent承担人才寻源、结构化筛选对话与报告生成，官方称可将招聘周期缩短75%以上。</w:t>
      </w:r>
    </w:p>
    <w:p>
      <w:pPr>
        <w:spacing w:after="140" w:before="0" w:line="312" w:lineRule="auto"/>
        <w:ind w:left="113"/>
      </w:pPr>
      <w:r>
        <w:rPr>
          <w:rFonts w:ascii="微软雅黑" w:hAnsi="微软雅黑" w:eastAsia="微软雅黑"/>
          <w:b w:val="0"/>
          <w:i w:val="0"/>
          <w:color w:val="202833"/>
          <w:sz w:val="22"/>
        </w:rPr>
        <w:t>其他近期交易包括：一线应急人员绩效辅导平台Sharp Performance获1800万美元A轮（Hidden Variable领投、a16z参与，10月16日）；维也纳建筑地产AI后台自动化平台reebuild获300万欧元种子轮；美国临床研究财务运营平台Peppermint获470万美元种子轮；印度教育科技平台byteXL获900万美元融资，嵌入高校体系打通工程人才就业通道；慕尼黑HR流程自动化初创Ahron获220万欧元。</w:t>
      </w:r>
    </w:p>
    <w:p>
      <w:pPr>
        <w:spacing w:after="140" w:before="0" w:line="312" w:lineRule="auto"/>
        <w:ind w:left="113"/>
      </w:pPr>
      <w:r>
        <w:rPr>
          <w:rFonts w:ascii="微软雅黑" w:hAnsi="微软雅黑" w:eastAsia="微软雅黑"/>
          <w:b w:val="0"/>
          <w:i w:val="0"/>
          <w:color w:val="202833"/>
          <w:sz w:val="22"/>
        </w:rPr>
        <w:t>地域与赛道分布很清晰：美国偏“代理执行与福利支付”，欧洲偏“垂直行业后台自动化”，印度偏“人才供给前端”。资本在为“能直接交付工作结果的AI”付费，而不是为“会聊天的AI”付费。</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智联招聘2026财年收入降10%：招聘市场的“重新分层”正在发生</w:t>
      </w:r>
    </w:p>
    <w:p>
      <w:pPr>
        <w:spacing w:after="140" w:before="0" w:line="312" w:lineRule="auto"/>
        <w:ind w:left="113"/>
      </w:pPr>
      <w:r>
        <w:rPr>
          <w:rFonts w:ascii="微软雅黑" w:hAnsi="微软雅黑" w:eastAsia="微软雅黑"/>
          <w:b w:val="0"/>
          <w:i w:val="0"/>
          <w:color w:val="202833"/>
          <w:sz w:val="22"/>
        </w:rPr>
        <w:t>HRTech披露的智联招聘2026财年数据显示，其全年收入约23.71亿元，同比下降10%；同期BOSS直聘仍保持增长，猎聘处于收入承压状态。三家头部平台走出明显不同的曲线，说明问题已不只是宏观需求疲弱，而是用户习惯、平台模式、企业付费逻辑与AI技术共同推动的一轮重新分层。</w:t>
      </w:r>
    </w:p>
    <w:p>
      <w:pPr>
        <w:spacing w:after="140" w:before="0" w:line="312" w:lineRule="auto"/>
        <w:ind w:left="113"/>
      </w:pPr>
      <w:r>
        <w:rPr>
          <w:rFonts w:ascii="微软雅黑" w:hAnsi="微软雅黑" w:eastAsia="微软雅黑"/>
          <w:b w:val="0"/>
          <w:i w:val="0"/>
          <w:color w:val="202833"/>
          <w:sz w:val="22"/>
        </w:rPr>
        <w:t>资本环境层面，中国证券投资基金业协会数据显示，股权创投基金管理规模已突破16万亿元，创历史新高。钱并不缺，缺的是能被验证的单位经济模型——这对HR科技创业者意味着：融资叙事要从“覆盖多少HR场景”，转向“替代多少人力成本、缩短多少交付周期”。</w:t>
      </w:r>
    </w:p>
    <w:p>
      <w:pPr>
        <w:spacing w:after="200" w:line="312" w:lineRule="auto"/>
        <w:ind w:left="113"/>
        <w:shd w:val="clear" w:fill="EAF1FB"/>
      </w:pPr>
      <w:r>
        <w:rPr>
          <w:rFonts w:ascii="微软雅黑" w:hAnsi="微软雅黑" w:eastAsia="微软雅黑"/>
          <w:b/>
          <w:i w:val="0"/>
          <w:color w:val="F57C00"/>
          <w:sz w:val="22"/>
        </w:rPr>
        <w:t>判断：</w:t>
      </w:r>
      <w:r>
        <w:rPr>
          <w:rFonts w:ascii="微软雅黑" w:hAnsi="微软雅黑" w:eastAsia="微软雅黑"/>
          <w:b w:val="0"/>
          <w:i w:val="0"/>
          <w:color w:val="202833"/>
          <w:sz w:val="22"/>
        </w:rPr>
        <w:t>二级市场在杀估值，一级市场在押“可交付的AI”。未来12个月，HR科技的分化不在功能清单，而在三条硬指标：AI收入占比、客户留存率、交付人效比。</w:t>
      </w:r>
    </w:p>
    <w:p>
      <w:pPr>
        <w:spacing w:after="120" w:before="240" w:line="312" w:lineRule="auto"/>
        <w:shd w:val="clear" w:fill="EAF1FB"/>
      </w:pPr>
      <w:r>
        <w:rPr>
          <w:rFonts w:ascii="微软雅黑" w:hAnsi="微软雅黑" w:eastAsia="微软雅黑"/>
          <w:b/>
          <w:i w:val="0"/>
          <w:color w:val="1E4E9C"/>
          <w:sz w:val="30"/>
        </w:rPr>
        <w:t>◆ 重点事件深度解读</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事件一：简历“开盒”判决——招聘数据治理从“免责声明”走向“刑事红线”</w:t>
      </w:r>
    </w:p>
    <w:p>
      <w:pPr>
        <w:spacing w:after="140" w:before="0" w:line="312" w:lineRule="auto"/>
        <w:ind w:left="113"/>
      </w:pPr>
      <w:r>
        <w:rPr>
          <w:rFonts w:ascii="微软雅黑" w:hAnsi="微软雅黑" w:eastAsia="微软雅黑"/>
          <w:b w:val="0"/>
          <w:i w:val="0"/>
          <w:color w:val="202833"/>
          <w:sz w:val="22"/>
        </w:rPr>
        <w:t>这起案件的技术含量不高，但破坏路径极具代表性：失效账号“复活”→伪造资质通过审核→刷任务攒积分解锁联系方式→按条出售给有“定向挖人”需求的咨询公司与猎头。整条链路中，平台的风控被“真实注册账号＋合规文件外观＋分散操作”三重伪装绕过。</w:t>
      </w:r>
    </w:p>
    <w:p>
      <w:pPr>
        <w:spacing w:after="140" w:before="0" w:line="312" w:lineRule="auto"/>
        <w:ind w:left="113"/>
      </w:pPr>
      <w:r>
        <w:rPr>
          <w:rFonts w:ascii="微软雅黑" w:hAnsi="微软雅黑" w:eastAsia="微软雅黑"/>
          <w:b w:val="0"/>
          <w:i w:val="0"/>
          <w:color w:val="202833"/>
          <w:sz w:val="22"/>
        </w:rPr>
        <w:t>判决确立了两个关键认定：一是招聘平台显示的“虚拟号”，因与真实手机号绑定、具备实际联络功能，属于公民个人信息；二是“姓名＋虚拟号”与匿名简历信息相互匹配即可识别特定自然人，构成个人信息。这意味着平台以“虚拟号保护隐私”作为合规抗辩的空间被压缩。</w:t>
      </w:r>
    </w:p>
    <w:p>
      <w:pPr>
        <w:spacing w:after="140" w:before="0" w:line="312" w:lineRule="auto"/>
        <w:ind w:left="113"/>
      </w:pPr>
      <w:r>
        <w:rPr>
          <w:rFonts w:ascii="微软雅黑" w:hAnsi="微软雅黑" w:eastAsia="微软雅黑"/>
          <w:b w:val="0"/>
          <w:i w:val="0"/>
          <w:color w:val="202833"/>
          <w:sz w:val="22"/>
        </w:rPr>
        <w:t>对平台而言，需要补的三件事：账号资质的动态复核（而非一次性审核）、解锁行为的异常模式识别（任务积分体系是明显缺口）、以及企业客户的下游用途审计。对使用招聘数据的猎头与咨询机构而言，“向第三方采购联系方式”这条低成本路径已进入刑事风险区。</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事件二：AI面试＋实习转正——效率提升的另一面是“用人风险后置”</w:t>
      </w:r>
    </w:p>
    <w:p>
      <w:pPr>
        <w:spacing w:after="140" w:before="0" w:line="312" w:lineRule="auto"/>
        <w:ind w:left="113"/>
      </w:pPr>
      <w:r>
        <w:rPr>
          <w:rFonts w:ascii="微软雅黑" w:hAnsi="微软雅黑" w:eastAsia="微软雅黑"/>
          <w:b w:val="0"/>
          <w:i w:val="0"/>
          <w:color w:val="202833"/>
          <w:sz w:val="22"/>
        </w:rPr>
        <w:t>本周两条看似无关的新闻，指向同一个结构性变化：银行秋招用AI把初筛成本从5500元/天压到35元/人；具身智能企业把正式offer改成“实习转正”。前者是筛选环节的机器替代，后者是录用决策的风险转移。</w:t>
      </w:r>
    </w:p>
    <w:p>
      <w:pPr>
        <w:spacing w:after="140" w:before="0" w:line="312" w:lineRule="auto"/>
        <w:ind w:left="113"/>
      </w:pPr>
      <w:r>
        <w:rPr>
          <w:rFonts w:ascii="微软雅黑" w:hAnsi="微软雅黑" w:eastAsia="微软雅黑"/>
          <w:b w:val="0"/>
          <w:i w:val="0"/>
          <w:color w:val="202833"/>
          <w:sz w:val="22"/>
        </w:rPr>
        <w:t>两者共同的作用，是把招聘流程中原本由企业承担的“判断成本”和“试错成本”，部分转移给了算法与候选人。AI面试的评分逻辑若不透明，候选人无法有效申诉；实习转正则让毕业生在缺乏谈判筹码的情况下承担考察期的不确定性。</w:t>
      </w:r>
    </w:p>
    <w:p>
      <w:pPr>
        <w:spacing w:after="140" w:before="0" w:line="312" w:lineRule="auto"/>
        <w:ind w:left="113"/>
      </w:pPr>
      <w:r>
        <w:rPr>
          <w:rFonts w:ascii="微软雅黑" w:hAnsi="微软雅黑" w:eastAsia="微软雅黑"/>
          <w:b w:val="0"/>
          <w:i w:val="0"/>
          <w:color w:val="202833"/>
          <w:sz w:val="22"/>
        </w:rPr>
        <w:t>短期看，这是企业在缩招周期里的理性选择；中期看，它会反噬雇主品牌——招聘体验本身就是候选人评价企业的第一个样本。真正可持续的做法，是把AI用在“可解释的初筛”上，把实习转正用在“有明确转正标准与补偿机制”的岗位设计上，而不是把两者当成降本工具。</w:t>
      </w:r>
    </w:p>
    <w:p>
      <w:pPr>
        <w:spacing w:after="200" w:line="312" w:lineRule="auto"/>
        <w:ind w:left="113"/>
        <w:shd w:val="clear" w:fill="EAF1FB"/>
      </w:pPr>
      <w:r>
        <w:rPr>
          <w:rFonts w:ascii="微软雅黑" w:hAnsi="微软雅黑" w:eastAsia="微软雅黑"/>
          <w:b/>
          <w:i w:val="0"/>
          <w:color w:val="F57C00"/>
          <w:sz w:val="22"/>
        </w:rPr>
        <w:t>判断：</w:t>
      </w:r>
      <w:r>
        <w:rPr>
          <w:rFonts w:ascii="微软雅黑" w:hAnsi="微软雅黑" w:eastAsia="微软雅黑"/>
          <w:b w:val="0"/>
          <w:i w:val="0"/>
          <w:color w:val="202833"/>
          <w:sz w:val="22"/>
        </w:rPr>
        <w:t>本周两起“标志性事件”的共同点：技术提升了效率，但把风险与信息不对称推给了链条上更弱的一方。监管与市场的下一步，都会围绕“可解释、可申诉、可追溯”展开。</w:t>
      </w:r>
    </w:p>
    <w:p>
      <w:pPr>
        <w:spacing w:after="120" w:before="240" w:line="312" w:lineRule="auto"/>
        <w:shd w:val="clear" w:fill="EAF1FB"/>
      </w:pPr>
      <w:r>
        <w:rPr>
          <w:rFonts w:ascii="微软雅黑" w:hAnsi="微软雅黑" w:eastAsia="微软雅黑"/>
          <w:b/>
          <w:i w:val="0"/>
          <w:color w:val="1E4E9C"/>
          <w:sz w:val="30"/>
        </w:rPr>
        <w:t>◆ 趋势研判与风险提示</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趋势一：合规成本从“新增支出”变为“存量内化”</w:t>
      </w:r>
    </w:p>
    <w:p>
      <w:pPr>
        <w:spacing w:after="140" w:before="0" w:line="312" w:lineRule="auto"/>
        <w:ind w:left="113"/>
      </w:pPr>
      <w:r>
        <w:rPr>
          <w:rFonts w:ascii="微软雅黑" w:hAnsi="微软雅黑" w:eastAsia="微软雅黑"/>
          <w:b w:val="0"/>
          <w:i w:val="0"/>
          <w:color w:val="202833"/>
          <w:sz w:val="22"/>
        </w:rPr>
        <w:t>五部门风险提示、新就业形态办法、简历黑产判决、对外承包工程条例修订，四条线在两周内同时推进，指向同一个方向：合规不再是项目制投入，而是嵌入业务流程的常态成本。招聘平台的资质审核、灵活用工平台的算法治理、劳务输出机构的分包管理，都将从“事后补救”转为“事前设计”。</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趋势二：技能供给“国际化”，职教标准开始外溢</w:t>
      </w:r>
    </w:p>
    <w:p>
      <w:pPr>
        <w:spacing w:after="140" w:before="0" w:line="312" w:lineRule="auto"/>
        <w:ind w:left="113"/>
      </w:pPr>
      <w:r>
        <w:rPr>
          <w:rFonts w:ascii="微软雅黑" w:hAnsi="微软雅黑" w:eastAsia="微软雅黑"/>
          <w:b w:val="0"/>
          <w:i w:val="0"/>
          <w:color w:val="202833"/>
          <w:sz w:val="22"/>
        </w:rPr>
        <w:t>《北京协议》由45国共同发布、鲁班工坊国家标准推出、上海允许境外职业技能证书比照认定，标志着中国职业教育从“引进来”转向“标准输出＋资格互认”。2.2亿技能劳动者、7200万高技能人才的底盘，是出国劳务从人力输出升级为“技能＋标准”输出的基础条件。</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趋势三：需求“两头热”，中间层“腰部断层”仍在扩大</w:t>
      </w:r>
    </w:p>
    <w:p>
      <w:pPr>
        <w:spacing w:after="140" w:before="0" w:line="312" w:lineRule="auto"/>
        <w:ind w:left="113"/>
      </w:pPr>
      <w:r>
        <w:rPr>
          <w:rFonts w:ascii="微软雅黑" w:hAnsi="微软雅黑" w:eastAsia="微软雅黑"/>
          <w:b w:val="0"/>
          <w:i w:val="0"/>
          <w:color w:val="202833"/>
          <w:sz w:val="22"/>
        </w:rPr>
        <w:t>一端是养老/看护（43.9%）、临床研究（需供比4.59）等民生与生命科学岗位持续紧缺；另一端是AI、芯片、具身智能的高薪抢人（应届AI工程师17775元/月，具身智能年薪50万被称白菜价）。而具备3—5年经验的中高端人才“腰部断层”，仍是企业招聘最难解的一段。</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 风险提示：数据合规、用工责任与跨境法律三重约束</w:t>
      </w:r>
    </w:p>
    <w:p>
      <w:pPr>
        <w:spacing w:after="140" w:line="312" w:lineRule="auto"/>
        <w:shd w:val="clear" w:fill="FDEAEA"/>
      </w:pPr>
      <w:r>
        <w:rPr>
          <w:rFonts w:ascii="微软雅黑" w:hAnsi="微软雅黑" w:eastAsia="微软雅黑"/>
          <w:b/>
          <w:i w:val="0"/>
          <w:color w:val="D62B1F"/>
          <w:sz w:val="22"/>
        </w:rPr>
        <w:t xml:space="preserve">⚠ </w:t>
      </w:r>
      <w:r>
        <w:rPr>
          <w:rFonts w:ascii="微软雅黑" w:hAnsi="微软雅黑" w:eastAsia="微软雅黑"/>
          <w:b w:val="0"/>
          <w:i w:val="0"/>
          <w:color w:val="202833"/>
          <w:sz w:val="22"/>
        </w:rPr>
        <w:t>数据合规风险：简历“开盒”案已明确虚拟号属于个人信息，平台与数据采购方均需重新评估账号资质复核、解锁行为监控与下游用途审计的合规缺口。</w:t>
      </w:r>
    </w:p>
    <w:p>
      <w:pPr>
        <w:spacing w:after="140" w:line="312" w:lineRule="auto"/>
        <w:shd w:val="clear" w:fill="FDEAEA"/>
      </w:pPr>
      <w:r>
        <w:rPr>
          <w:rFonts w:ascii="微软雅黑" w:hAnsi="微软雅黑" w:eastAsia="微软雅黑"/>
          <w:b/>
          <w:i w:val="0"/>
          <w:color w:val="D62B1F"/>
          <w:sz w:val="22"/>
        </w:rPr>
        <w:t xml:space="preserve">⚠ </w:t>
      </w:r>
      <w:r>
        <w:rPr>
          <w:rFonts w:ascii="微软雅黑" w:hAnsi="微软雅黑" w:eastAsia="微软雅黑"/>
          <w:b w:val="0"/>
          <w:i w:val="0"/>
          <w:color w:val="202833"/>
          <w:sz w:val="22"/>
        </w:rPr>
        <w:t>用工责任风险：新就业形态办法确立责任穿透机制，禁止诱导注册个体工商户与多层转包。依靠“个体户化＋层层分包”压降成本的组织架构，需要在本轮征求意见期内完成自查与重构。</w:t>
      </w:r>
    </w:p>
    <w:p>
      <w:pPr>
        <w:spacing w:after="140" w:line="312" w:lineRule="auto"/>
        <w:shd w:val="clear" w:fill="FDEAEA"/>
      </w:pPr>
      <w:r>
        <w:rPr>
          <w:rFonts w:ascii="微软雅黑" w:hAnsi="微软雅黑" w:eastAsia="微软雅黑"/>
          <w:b/>
          <w:i w:val="0"/>
          <w:color w:val="D62B1F"/>
          <w:sz w:val="22"/>
        </w:rPr>
        <w:t xml:space="preserve">⚠ </w:t>
      </w:r>
      <w:r>
        <w:rPr>
          <w:rFonts w:ascii="微软雅黑" w:hAnsi="微软雅黑" w:eastAsia="微软雅黑"/>
          <w:b w:val="0"/>
          <w:i w:val="0"/>
          <w:color w:val="202833"/>
          <w:sz w:val="22"/>
        </w:rPr>
        <w:t>跨境法律风险：《对外承包工程管理条例（修订草案）》提高资质与责任要求，叠加巴西工时修正案落地（缩短工时可能推高招聘、轮班与分包成本）等属地规则变化，海外项目的用工成本模型需重新测算。</w:t>
      </w:r>
    </w:p>
    <w:p>
      <w:pPr>
        <w:spacing w:after="140" w:before="0" w:line="312" w:lineRule="auto"/>
        <w:ind w:left="113"/>
      </w:pPr>
      <w:r>
        <w:rPr>
          <w:rFonts w:ascii="微软雅黑" w:hAnsi="微软雅黑" w:eastAsia="微软雅黑"/>
          <w:b w:val="0"/>
          <w:i w:val="0"/>
          <w:color w:val="202833"/>
          <w:sz w:val="22"/>
        </w:rPr>
        <w:t>另需关注AI招聘的公平性议题：算法初筛的评分维度、训练数据偏差与申诉机制，一旦进入劳动争议或舆情场景，举证责任将落在用工方一侧。</w:t>
      </w:r>
    </w:p>
    <w:p>
      <w:pPr>
        <w:spacing w:after="200" w:line="312" w:lineRule="auto"/>
        <w:ind w:left="113"/>
        <w:shd w:val="clear" w:fill="EAF1FB"/>
      </w:pPr>
      <w:r>
        <w:rPr>
          <w:rFonts w:ascii="微软雅黑" w:hAnsi="微软雅黑" w:eastAsia="微软雅黑"/>
          <w:b/>
          <w:i w:val="0"/>
          <w:color w:val="F57C00"/>
          <w:sz w:val="22"/>
        </w:rPr>
        <w:t>判断：</w:t>
      </w:r>
      <w:r>
        <w:rPr>
          <w:rFonts w:ascii="微软雅黑" w:hAnsi="微软雅黑" w:eastAsia="微软雅黑"/>
          <w:b w:val="0"/>
          <w:i w:val="0"/>
          <w:color w:val="202833"/>
          <w:sz w:val="22"/>
        </w:rPr>
        <w:t>2026年剩下的两个月不是冲规模的时间，而是补合规、补交付、补数据治理的时间。谁能把合规做成产品能力，谁就能在下一轮定价权重分配中占据主动。</w:t>
      </w:r>
    </w:p>
    <w:p>
      <w:pPr>
        <w:spacing w:after="40"/>
      </w:pPr>
    </w:p>
    <w:p>
      <w:pPr>
        <w:spacing w:after="0" w:line="312" w:lineRule="auto"/>
        <w:shd w:val="clear" w:fill="D62B1F"/>
      </w:pPr>
      <w:r>
        <w:rPr>
          <w:rFonts w:ascii="微软雅黑" w:hAnsi="微软雅黑" w:eastAsia="微软雅黑"/>
          <w:b/>
          <w:i w:val="0"/>
          <w:color w:val="FFFFFF"/>
          <w:sz w:val="23"/>
        </w:rPr>
        <w:t>一句话判断：</w:t>
      </w:r>
    </w:p>
    <w:p>
      <w:pPr>
        <w:spacing w:after="200" w:line="312" w:lineRule="auto"/>
        <w:shd w:val="clear" w:fill="FDEAEA"/>
      </w:pPr>
      <w:r>
        <w:rPr>
          <w:rFonts w:ascii="微软雅黑" w:hAnsi="微软雅黑" w:eastAsia="微软雅黑"/>
          <w:b/>
          <w:i w:val="0"/>
          <w:color w:val="D62B1F"/>
          <w:sz w:val="23"/>
        </w:rPr>
        <w:t>政策在划边界，资本在看回报，劳动者在看在手收入。三者的交集只有一个词——可持续的用工关系。行业真正的分水岭，不是谁跑得更快，而是谁能在合规成本上升的周期里，依然把交付做得又稳又便宜。</w:t>
      </w:r>
    </w:p>
    <w:p>
      <w:pPr>
        <w:spacing w:after="40" w:before="0" w:line="312" w:lineRule="auto"/>
        <w:jc w:val="center"/>
      </w:pPr>
      <w:r>
        <w:rPr>
          <w:rFonts w:ascii="微软雅黑" w:hAnsi="微软雅黑" w:eastAsia="微软雅黑"/>
          <w:b w:val="0"/>
          <w:i w:val="0"/>
          <w:color w:val="5C6B7A"/>
          <w:sz w:val="17"/>
        </w:rPr>
        <w:t>—— 本报告由AI自动抓取生成，数据来源为公开信息，仅供参考，不构成任何投资建议 ——</w:t>
      </w:r>
    </w:p>
    <w:p>
      <w:pPr>
        <w:spacing w:after="120" w:before="0" w:line="312" w:lineRule="auto"/>
        <w:jc w:val="center"/>
      </w:pPr>
      <w:r>
        <w:rPr>
          <w:rFonts w:ascii="微软雅黑" w:hAnsi="微软雅黑" w:eastAsia="微软雅黑"/>
          <w:b w:val="0"/>
          <w:i w:val="0"/>
          <w:color w:val="5C6B7A"/>
          <w:sz w:val="17"/>
        </w:rPr>
        <w:t>生成时间：2026-10-19 07:00</w:t>
      </w:r>
    </w:p>
    <w:sectPr w:rsidR="00FC693F" w:rsidRPr="0006063C" w:rsidSect="00034616">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