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12" w:lineRule="auto"/>
        <w:jc w:val="center"/>
      </w:pPr>
      <w:r>
        <w:rPr>
          <w:rFonts w:ascii="微软雅黑" w:hAnsi="微软雅黑" w:eastAsia="微软雅黑"/>
          <w:b/>
          <w:i w:val="0"/>
          <w:color w:val="0F2452"/>
          <w:sz w:val="48"/>
        </w:rPr>
        <w:t>人力资源行业新闻周报</w:t>
      </w:r>
    </w:p>
    <w:p>
      <w:pPr>
        <w:spacing w:after="40" w:before="0" w:line="312" w:lineRule="auto"/>
        <w:jc w:val="center"/>
      </w:pPr>
      <w:r>
        <w:rPr>
          <w:rFonts w:ascii="微软雅黑" w:hAnsi="微软雅黑" w:eastAsia="微软雅黑"/>
          <w:b/>
          <w:i w:val="0"/>
          <w:color w:val="1E4E9C"/>
          <w:sz w:val="22"/>
        </w:rPr>
        <w:t>Weekly HR Industry News Report</w:t>
      </w:r>
    </w:p>
    <w:p>
      <w:pPr>
        <w:spacing w:after="200" w:before="0" w:line="312" w:lineRule="auto"/>
        <w:jc w:val="center"/>
      </w:pPr>
      <w:r>
        <w:rPr>
          <w:rFonts w:ascii="微软雅黑" w:hAnsi="微软雅黑" w:eastAsia="微软雅黑"/>
          <w:b w:val="0"/>
          <w:i w:val="0"/>
          <w:color w:val="5C6B7A"/>
          <w:sz w:val="21"/>
        </w:rPr>
        <w:t>报告周期：2026年10月13日 — 10月20日（滚动一周）</w:t>
      </w:r>
    </w:p>
    <w:p>
      <w:pPr>
        <w:spacing w:after="160" w:line="336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1"/>
        </w:rPr>
        <w:t>本周核心动向：</w:t>
      </w:r>
      <w:r>
        <w:rPr>
          <w:rFonts w:ascii="微软雅黑" w:hAnsi="微软雅黑" w:eastAsia="微软雅黑"/>
          <w:b w:val="0"/>
          <w:i w:val="0"/>
          <w:color w:val="141A26"/>
          <w:sz w:val="21"/>
        </w:rPr>
        <w:t>本周主线由“政策宣示”转入“成本核算”：前三季度经济数据落地，失业率5.2%、外出务工农村劳动力1.927亿人，就业大盘稳中偏紧；11月1日起社保正式纳入全国统一税务处罚裁量、逾期未缴最高可处3倍罚款，把“少缴社保”从灰色操作变成了可计量的违法成本；平台侧则以广东骑手算法协商、职业伤害保障全国推开回应治理要求。资本市场给出的答案很直接——全球HR上市公司TOP10市值一个月缩水331亿美元，钱继续流向AI原生的小团队，而不是渠道型的旧巨头。</w:t>
      </w:r>
    </w:p>
    <w:p>
      <w:pPr>
        <w:spacing w:after="80" w:before="120" w:line="312" w:lineRule="auto"/>
      </w:pPr>
      <w:r>
        <w:rPr>
          <w:rFonts w:ascii="微软雅黑" w:hAnsi="微软雅黑" w:eastAsia="微软雅黑"/>
          <w:b/>
          <w:i w:val="0"/>
          <w:color w:val="1E4E9C"/>
          <w:sz w:val="28"/>
        </w:rPr>
        <w:t>◆ 本期速览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国家统计局10月19日：前三季度GDP同比增长4.6%，全国城镇调查失业率平均值5.2%（与上年同期持平），9月为5.2%、环比降0.1个百分点；三季度末外出务工农村劳动力19270万人，同比增长0.4%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11月1日起社保纳入全国统一税务处罚裁量范围，用人单位不缴或少缴社保、经责令限期缴纳仍逾期未缴的，按欠缴数额最高可处3倍罚款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人社部副部长李忠解读《实施就业优先战略“十五五”规划》：稳就业总量、破解结构性矛盾、抓实重点群体三大任务，明确要深化东西部劳务协作、培育壮大劳务品牌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科锐国际《2026 AI人才市场报告》：2026年1—6月AI相关招聘职位数较2024年同期增长约119%，高薪AI岗位数量翻倍、硕博学历岗占比降至25%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商务部：1—8月外派各类劳务人员31.5万人（同比增加4.4万人），月末在外68.1万人；对外承包工程完成营业额7937.1亿元、同比增长5.8%，新签合同额11763.2亿元、下降3.0%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HRTechChina全球观察：全球HR上市公司市值TOP10合计约3783亿美元、环比下降8.0%；中国HR上市公司TOP10合计约721.97亿元、下降10.7%，但9月全球HR科技融资仍超10亿美元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行业要闻速览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1. 前三季度就业成绩单：5.2%的失业率与1.927亿外出务工者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10月19日国家统计局公布前三季度国民经济运行情况。前三季度全国城镇调查失业率平均值为5.2%，与上年同期持平；9月为5.2%，比上月下降0.1个百分点。分层看，本地户籍劳动力调查失业率5.2%，外来户籍5.1%，其中外来农业户籍5.0%；31个大城市城镇调查失业率5.2%，环比同样下降0.1个百分点。全国企业就业人员周平均工作时间为48.3小时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更值得人力资源行业关注的是流动数据：三季度末外出务工农村劳动力总量19270万人，同比增长0.4%。在GDP同比增长4.6%、三季度增速比二季度回升0.2个百分点的背景下，就业总量保持稳定，但0.4%的外出务工增速说明跨省流动已接近平台期——劳务输出的增量，正在从“人数增长”转向“技能与组织效率提升”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家统计局新闻发言人毛盛勇在国新办发布会上表示，前三季度国民经济“顶压前行、向新向优”，主要指标积极变化增多，实现全年经济增长预期目标有坚实支撑。对HR从业者而言，这意味着四季度招聘预算大概率不会被进一步压缩，但结构性缺口仍将由技能错配而非需求不足来解释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2. “十五五”就业规划定调：三大任务与劳务品牌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人社部副部长、新闻发言人李忠在解读《实施就业优先战略“十五五”规划》时明确，“十五五”时期首要任务是锚定高质量充分就业，推动构建就业友好型社会发展方式，并聚焦三大重点任务打出“就业支持组合拳”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第一是稳定就业总量：实施稳岗扩容提质行动，稳住劳动密集型行业就业规模，持续释放服务业就业吸纳主渠道作用，研究出台服务业促就业相关文件，同时从新兴产业、未来产业中挖掘新增就业潜能。第二是破解结构性就业矛盾：兼顾“有活没人干”和“有人没活干”双向问题，大规模开展职业技能培训，提升人岗匹配效率。第三是抓实重点群体就业：建立分层分类、精准高效的支持体系，推进农民工就业促进行动，深化东西部劳务协作，培育壮大一批劳务品牌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深化东西部劳务协作、培育壮大劳务品牌”被写入规划级表述，这对以劳务输出、劳务派遣、跨省用工组织为主业的机构是明确的政策顺风：有品牌、有培训能力、能跨区域组织交付的机构，将从“中介”升级为“公共就业服务的合作方”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3. 社保11月起入税务处罚裁量：最高3倍罚款，灰色空间关闭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经济日报10月20日刊文指出，将于今年11月1日起施行的税务新规，正式将社保纳入全国统一的税务处罚裁量范围：用人单位不缴或者少缴社会保险费，经税务机关责令限期缴纳、逾期仍未缴纳的，按欠缴数额最高可处3倍罚款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文章直指两类长期存在的侥幸心理：一是“企业经营压力大，等发展好了再补缴”；二是“通过劳务派遣、外包，就可以不缴社保费”。文章明确，规避社保缴费看似压缩短期用工成本，实则暗藏违法失信、用工纠纷等多重风险；也有劳动者把社保误当企业福利，认为可以协商现金折现放弃参保——这同样属于认识误区。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对人力资源服务机构而言，这是一次成本结构的强制重算。劳务派遣、业务外包、灵活用工三类业务长期以“社保弹性”作为报价优势，一旦社保征管与税务处罚打通，“低价中标”的模型将在11月后迅速失效，报价必须回到真实的合规成本之上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4. 2027年国考缩招：35691人，比上年度少2400余人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《中央机关及其直属机构2027年度考试录用公务员公告》正式发布，共提供19426个职位、拟招录35691人，招录人数较2026年缩招2400余人。其中中国人民银行拟招录2366人（较2026年减少414人），国家金融监督管理总局拟招录2431人（与2026年的2459人基本持平，但结构明显调整）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结构性变化比总量更值得看：金融监管总局省（副省）级拟招225人、市（地）级449人，均有所下降，唯有县（区）级及以下拟招1742人上升——这是“四级垂管”架构确立后监管力量持续下沉的直接体现。央行总行8个岗位仅招27人，全部要求硕士及以上，其中业务司局二岗位仅限博士，面试比例5:1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策性岗位缩招+学历门槛上移，意味着2027届毕业生的“稳定型出口”在收窄，压力会进一步传导至市场化招聘平台与雇主品牌竞争。这对在线招聘平台的校园业务是量价双刃：流量上升，但优质岗位供给更稀缺。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5. 地方人才政策继续加码：合肥“安居+驿站”组合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人民日报10月20日刊发合肥人才工作调研。合肥打造“广玉兰人才安居工程”，提供“住房保障+货币补贴+生活优享”三位一体安居服务，近3年惠及人才超24万人次；试点建设人才驿站，为来肥求职的应届毕业生提供最长30天免费租住房；同时搭建平台整合人才安居、稳岗补贴申请通道，打通社保、房产、学历等数据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这类“数据打通+真金白银”的地方实践，正在成为城市争夺应届生的标准动作。对HR而言，跨区域招聘的谈判筹码已不只是薪资，而是“落户、住房、子女教育、社保衔接”的完整包。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政策端在做两件事：一手托住就业总量（稳岗扩容、服务业促就业），一手抬高用工合规底线（社保入税处罚、平台责任穿透）。中间被挤压的，正是长期靠“成本洼地”生存的中小人力服务机构。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在线招聘板块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智联招聘：财报承压，收入23.71亿元同比下降10%，三平台曲线分化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HRTechChina披露的智联招聘2026财年数据显示，全年收入约23.71亿元，同比下降10%。同一观察窗口内，BOSS直聘仍保持增长，同道猎聘则处于收入承压状态——三家头部平台正在走出明显不同的发展曲线，中国招聘市场的分层正在固化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这与智联此前发布的《2026年三季度人才市场热点快报》形成有意思的对照：一边是需求端的结构性亮点（养老/看护行业职位数同比增长43.9%位居全行业第一，新材料以14.8%居次；面向应届生的人工智能工程师职位数增长36.9%，平均招聘月薪17775元），一边是平台自身收入的收缩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求在涨、平台收入在降，说明企业为“发布职位”付费的意愿正在被AI工具和自有渠道分流。招聘平台的护城河，正在从“简历库规模”转向“匹配效率与交付结果”。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BOSS直聘：增长延续，但AI招聘助手正在重构“直聊”的价值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本周中概股盘中，BOSS直聘上涨2.26%，在多数中概股收跌的背景下表现相对坚挺，与其基本面的增长态势一致。但更值得关注的是外部技术变量：Amazon发布基于agentic AI的招聘系统Amazon Connect Talent，可自动完成语音面试、候选人评估与评分并生成完整面试记录；Workday在Rising 2026大会上把Sana变成新的工作入口，让AI代理主动参与招聘、薪资和员工服务。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对以“直聊”为核心体验的BOSS直聘来说，AI面试与智能筛选的普及既是威胁也是机会：威胁在于“沟通撮合”这一层价值被自动化压缩，机会在于平台掌握的真实行为数据是训练匹配模型的最优燃料。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需警惕的是数据合规边界。Workday在加州AI招聘歧视诉讼中未能成功驳回核心主张，法院允许FEHA相关主张及部分ADA残障歧视主张继续推进——AI筛选的“不利影响”正在成为可诉的法律风险，这会反向抬高平台AI产品的合规成本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科锐国际：AI相关招聘职位两年增长119%，高薪岗翻倍、学历门槛下移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科锐国际联合得到AI学习圈发布《AI时代，工作机会正流向哪里？2026 AI人才市场报告》。数据显示，2026年1—6月AI相关招聘职位数量较2024年同期增长约119%；同期高薪AI职位数量翻倍，而要求硕博学历的岗位占比降至25%。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这组数据的含义相当明确：AI人才需求正从“做AI”（算法研究、模型训练）扩散到“用AI”（把AI嵌入业务职能），因此岗位数量暴增、学历门槛反而下移，能力要求从“论文与框架”转向“场景落地与工具链使用”。此前科锐在服贸会期间的另一份观察也印证了同一趋势——AI岗位正从“做AI”走向“用AI”，同一岗位对人才的能力要求已经变了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招聘服务商而言，这意味着交付难度上升而单价下降：客户要的不是“找到博士”，而是“找到能把AI用进财务、法务、HR流程的人”。这类候选人没有标准画像，寻访能力与行业理解成为真壁垒。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秋招现场：具身智能年薪50万成“白菜价”，但offer不好拿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第一财经10月17日报道，2027届秋招中应届生涌向机器人赛道。宇树科技、智元、自变量、银河通用等企业已开启秋招，阿里、腾讯、京东等大厂同样加入人才争夺。学生反馈，高端人才稀缺使年包50万元成为“白菜价”，但真正的矛盾在于HC极少——“HC仅二三十人”是常态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另一处变化是流程：以往拿到正式offer后等毕业入职即可，现在“实习转正”成为主流路径，offer的确定性被后置。这与银行秋招的做法形成呼应——中国经营报10月16日报道，在缩招与成本管控背景下，多家银行加速引入AI面试，AI面试成本约35元/人，而线下集中面试的场地与人力成本可达5500元/天量级。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效率提升的另一面是风险后置：AI面试筛掉的是“不会表达的人”还是“不合适的人”，目前缺乏可验证的效度数据；而实习转正把用人风险从“招聘环节”推到“试用环节”，一旦转正率低，校招品牌的损伤会在下一届招生中体现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在线招聘正在分裂为两个市场：一个是“AI原生岗位”的卖方市场（企业抢人、薪资通胀、HC极少），一个是“通用职能岗位”的买方市场（AI面试、缩招、成本管控）。平台若只能用一套产品服务两个市场，两头都会失守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出国劳务板块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商务部数据：1—8月外派劳务31.5万人，月末在外68.1万人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商务部对外投资和经济合作司公布的月度简明统计显示，2026年1—8月，我国企业共向境外派出各类劳务人员31.5万人，较上年同期增加4.4万人；其中承包工程项下派出9.2万人，劳务合作项下派出22.3万人。月末在外各类劳务人员68.1万人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结构上看，劳务合作项下（22.3万人）占比超过七成，说明外派的主力已不是跟随工程项目走的“工程劳务”，而是以服务业、制造业、护理介护等为主的市场化劳务合作。这与“十五五”规划提出的“培育壮大劳务品牌”在逻辑上是一致的——品牌化、专业化是外派劳务下一阶段的主赛道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期对外承包工程完成营业额7937.1亿元人民币，同比增长5.8%（以美元计1156.1亿美元，增长9.9%）；新签合同额11763.2亿元人民币，下降3.0%（以美元计1713.4亿美元，增长0.7%）。营业额强、新签弱，意味着未来1—2年工程项下的外派岗位增量有限，劳务合作项下必须承接更多就业输出压力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《对外承包工程管理条例（修订草案）》仍在征求意见期，11月9日截止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商务部10月10日发布《关于〈对外承包工程管理条例（修订草案）〉公开征求意见的通知》，意见反馈截止时间为11月9日。修订方向明确为“进一步完善对外承包工程管理，引导实力强、信誉好的工程企业有序出海”。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对劳务输出机构而言，这是必须跟踪的合规变量。条例修订通常伴随资质门槛、项目备案、外派人员管理（培训、保险、权益保障）等条款的调整，直接决定中小工程承包与劳务合作企业的市场准入。目前仍在征求意见期，机构应抓紧通过正式渠道反馈一线操作中的实际困难与建议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企业出海进入“本地化用工”阶段：长安东南亚本地员工占比70%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中国证券报10月20日刊发对长安汽车的专访。数据显示，长安首个新能源整车工厂在泰国投产，在巴西等8国建成17个KD（汽车散件组装）工厂，海外产能44.6万辆，业务覆盖149个国家和地区；今年海外销量有望达到90多万辆，明年目标实现自主品牌海外销量倍增。其中最关键的一句是：东南亚本地员工占比已达70%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无独有偶，厦门国贸在接受中国证券报专访时披露，公司已落地美国、泰国等海外平台公司，外派及属地化业务人员近300人，国际化业务收入同比增幅超30%，海外仓储节点布局165个、覆盖24个国家和地区。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0%的本地化率是一个信号：中企出海的人力资源命题，已从“把中国人派出去”转向“在当地建团队、管当地员工”。这意味着出国劳务机构的服务边界必须延伸到属地招聘、薪酬税务合规、跨文化管理与本地劳动法，而不仅是签证与派工。此前服贸会上，中智针对中东、非洲多个能源物流项目600余名外派人员提供的“招·派·管”一体化服务（含安全培训、员工关怀、属地薪酬税务合规审核），正是这一转型的现实样本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风险面：地缘扰动与人员安全，正成为出海用工的硬约束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本周多条信息指向同一处风险：中东局势持续紧张（原油价格波动、区域冲突升级）、海外项目人员安全事件增多。在此前的服贸会讨论中，险企与人力资源服务商已明确把“外派人员跨境医疗、心理疏导、紧急救援，以及本地员工福利体系搭建”列为跨国管理的难点，地缘冲突与社会治安使“事前预警、危机处置、人员撤离”成为出海企业的现实痛点。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对劳务输出机构，人员安全成本必须计入报价模型：境外保险、应急预案、撤离方案不再是加分项，而是投标资格项。低价竞争在这一环节最容易失守，也最容易酿成不可逆的品牌事故。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出国劳务的增量已从“工程项目带动”切换到“本地化用工服务”。谁能把属地招聘、合规、薪酬、安全四条线做成标准化交付，谁就能吃到这一轮中企出海的组织红利；只做签证与派工的中介，空间会被持续压缩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灵活用工板块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广东骑手算法协商落地：50余场恳谈会、近1万条诉求、120条议题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10月18日，2026年美团（广东）骑手劳动规则和算法协商征求意见会在广州举行，在广东省总工会、省委社会工作部、省人社厅、省市场监管局、广州市总工会等部门指导下，来自广东各地的一线骑手与平台围绕派单规则、社会保障、劳动保护、骑手服务等议题开展协商。会议按照《平台劳动规则和算法协商指引（试行）》要求召开，是参照北京骑手意见征求会经验组织的省级协商会议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台披露的数据值得记录：《协商指引》印发以来，美团已组建全平台协商“代表库”“议题库”，全国各层级恳谈会累计50余场，收集骑手意见诉求近1万条，形成120条议题，半数以上已改进落实。这说明算法协商已从“一次性公关动作”变成常态化机制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具体议题上，骑手提出城中村地址模糊导致找路耗时、骑手公寓男女分层、子女在城市入学等真实痛点。平台回应包括：对恶劣天气、复杂路况加大补时；商家出餐慢等非骑手原因造成的超时不扣服务分；提高大重量、大体积及步行上下楼订单的计费权重；继续执行“取消超时扣款”；落实30分钟配送时限试点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“红灯停表”扩围：职业伤害保障已全国推开，美团累计缴纳36亿元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交通安全是本周协商的核心议题之一。美团与苏州交管首创的外卖骑手“红灯停表”功能于7月31日上线，9月25日覆盖苏州全城；8月13日在北京部分城区上线，覆盖无锡、镇江等多地，上海、杭州等30多个城市正在评估中，预计年内覆盖超百万骑手，行业内多平台已根据试点样板跟进推广。其核心逻辑是：骑手等红灯的时长，平台自动为配送时长补时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社会保障方面，我国自2022年7月起开展新就业形态人员职业伤害保障试点，2026年7月1日起在全国31个省份和新疆生产建设兵团全面推开。美团按有关规定为全国骑手全额缴纳职业伤害保障费，截至2026年8月底，平台已累计为约1900万骑手缴纳职业伤害保障费36亿元，实现“每单必保、每人必保”；养老保险方面，2025年2月启动试点，同年11月起补贴覆盖全国并面向全部类型骑手开放，符合条件的骑手可获得缴费基数50%的补贴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900万骑手、36亿元——这两个数字把“平台用工的保障成本”第一次变成了可核算的财务量级。对任何准备进入平台用工赛道的企业，这是一份现成的成本基线。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制度解读：算法取中、责任穿透，监管边界被明确限定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经济日报10月19日刊发的解读文章，系统梳理了《新就业形态劳动者权益保障办法（征求意见稿）》的规制逻辑。中国劳动和社会保障科学研究院研究员黄昆指出，基于平台数据技术形成的劳动规则（含算法）决定了劳动者的任务分配、绩效考核、报酬与任务完成过程，具有很强单边性和无法预测性；征求意见稿提出“算法取中”原则，明确用人单位的解释义务、自动化决策中的人工干预义务，并赋予工会监督和政府算法合理性审查的权力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值得注意的是“监管有限性”的表述：算法监管范畴被限定在劳动规则之内，仅涉及与劳动者报酬权、隐私权、救济申诉权等基本权利相关事项，既避免监管无限扩大妨碍技术创新，也抑制企业在算法制定中的单边任意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用工归属方面，征求意见稿将新就业形态细化为三种形态：形成支配性劳动管理的按劳动关系签劳动合同；有劳动管理但不符合确立劳动关系情形的签书面用工协议、多方共同参与管理的订三方协议；个人依托平台自主经营、从事自由职业的不适用本办法。同时明确平台对合作企业的选任与监督义务——合作企业不具备合法经营资质的，平台承担用工主体责任，并禁止诱导劳动者注册个体工商户、通过多层转包规避用工责任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地方政策外溢：赣州“育儿岗位备案”明确排除劳务派遣与灵活用工平台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10月16日一则地方政策细节值得注意：赣州推出支持企业招用对12周岁以下儿童负有抚养义务劳动者的岗位备案政策，申报主体为全市范围内注册经营的企业，但明确“(劳务派遣单位、灵活用工平台企业除外)”；同时有企业推出“女员工可申请居家办公”的安排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除外”两个字很关键：当地方就业支持政策开始系统性排除派遣与灵工平台，说明政策制定者对“用工形式套利”已有清晰认知。灵工平台若继续以“帮客户套政策、套补贴”为卖点，未来会同时面临税务、社保、地方政策三重挤压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灵活用工的竞争要素已经换血：过去比“能不能合规地把成本做低”，现在比“能不能在合规成本上升后依然把交付做稳”。算法协商、职业伤害保障、社保入税，三条线合起来把行业从“套利生意”推向“运营生意”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投资创业板块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全球HR科技：市值缩水331亿美元，融资却仍在加速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HRTechChina《2026年10月全球行业观察》显示，全球HR上市公司市值TOP10合计约3783亿美元，较上期下降8.0%（缩水约331亿美元）；中国HR上市公司TOP10合计约721.97亿元人民币，下降10.7%。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但与二级市场形成反差的是一级市场的活跃度：9月全球HR科技领域发生14起融资，总额超过10亿美元，其中Angle Health 6亿美元、HiBob 1.66亿美元、Thatch 1.08亿美元。资本没有离场，只是把钱从“渠道型平台”搬到了“AI原生的流程工具”。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一背离对国内HR SaaS的启示很直接：估值锚已从“GMV/客户数”切换到“AI功能带来的可计量效率提升”。无法把AI能力折算成客户ROI的产品，在下一轮融资中会失去定价权。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本周融资扫描：代理式学习、一线绩效辅导、垂直后台自动化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代理式学习平台LearnUpon（美国）10月19日宣布与Claret Capital Partners合作获得5000万美元增长融资，用于“代理式时代”的扩张及持续的有机增长与并购投资战略。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一线应急人员绩效辅导平台Sharp Performance（美国）10月16日完成1800万美元A轮，由Hidden Variable领投，Andreessen Horowitz、Commonweal Ventures、Wolfson Group、FJ Labs及福特基金会跟投，累计融资达3000万美元；其服务已覆盖超110个公共安全部门，辅导预约破1.6万次。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此外，维也纳建筑与房地产行业AI原生后台自动化平台reebuild获300万欧元种子轮（Fortino Ventures领投）；印度教育科技平台byteXL获900万美元（Elevar Equity领投，Kalaari Capital与迈克尔与苏珊·戴尔基金会跟投），以B2B混合模式在120所院校内嵌行业技能课程、覆盖50万学生；慕尼黑AI HR流程自动化公司Ahron获220万欧元（Cusp Capital领投），以流程智能实现HR端到端自动化，年收入已超100万欧元；AI驱动财务运营平台Peppermint获470万美元种子轮（Moxxie领投）。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批项目的共同点：不做“大而全的HR套件”，只把一个高价值流程做穿（学习交付、绩效辅导、建筑后台、院校技能、HR行政、临床研究财务），且都以“可审计”为卖点。这是资本当下最认的故事结构。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Workday动作连发：收购C1.ai，把AI Agent纳入权限治理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10月13日，Workday在拉斯维加斯Workday Rising 2026大会上宣布已签署最终协议，计划收购人工智能身份与访问权限治理公司C1.ai，将企业员工与AI Agent的身份管理、系统访问授权和权限审计整合进Workday平台。此前，Workday已把Sana变成新的工作入口，让AI代理参与招聘、薪资与员工服务，并发布Work Intelligence重新拆解岗位与技能。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是一个方向性信号：HR系统的下一个入口不是“员工管理”，而是“人与AI Agent的权限治理”。当企业里同时存在人和代理在操作系统，谁有权限做什么、由谁审计，会成为HR系统不可替代的价值点——这也是国内HR SaaS最容易忽略的空白。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一级市场环境：11部门19条支持科技金融，国家基金退出回报10.15倍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10月19日，中国人民银行、科技部、金融监管总局、证监会、国家发展改革委、工业和信息化部、财政部、人力资源社会保障部、国务院国资委、国家知识产权局、国家外汇局等11部门联合印发《关于金融支持建设北京（京津冀）、上海（长三角）、粤港澳大湾区国际科技创新中心的指导意见》，从政策引领、协同联动、高水平对外开放、因地制宜健全区域科技金融服务体系等方面提出19项工作举措，明确用好已设立社保科创基金、支持发展并购基金、打通并购重组堵点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同一场合披露的国家中小企业发展基金数据颇具参考价值：截至2026年9月底，累计实现IPO项目123个、退出项目356个、累计退出金额211.42亿元，退出收益与最新持有市值合计617.68亿元，收益回报倍数10.15倍。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对人力资源赛道的创业者，这意味着“并购退出”正在成为比IPO更现实的选择。当11部门明确支持并购基金、打通并购堵点，HR科技公司的合理策略是：把产品做成大厂愿意买的一块拼图，而不是执念于独立上市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平台经济出清样本：快狗打车1元出售内地业务，转向香港与海外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10月19日，快狗打车公告拟以人民币1元出售中国内地市场业务给独立第三方Crestpoint Investment Limited，交易完成后不再以“快狗打车”品牌在内地经营任何业务，重心转向中国香港及其他海外市场（以GOGOX品牌经营），并建议将公司中文名更改为“GOGO科技”。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数据说明了撤退的原因：今年上半年快狗打车营收2.9亿元、同比减少10.9%，期内净亏损7120.5万元；内地市场收入从2025年上半年的6840万元降至4400万元，萎缩35.7%，而香港及海外业务已占总收入的85%。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这是平台用工赛道一个清晰的警示：靠补贴换规模的模型，在巨头价格战与监管趋严的双重挤压下没有中间态。对人力服务类平台同样成立——如果单位经济模型不能在内地市场跑正，“转战海外”往往只是延缓而非解决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资本正在做减法：全球范围内把钱集中投向“单一流程做穿+可审计”的AI工具，中国范围内则用并购替代IPO作为主要退出路径。人力资源赛道的融资逻辑，已经从“规模故事”彻底转向“效率凭证”。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重点事件深度解读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事件一：社保入税处罚——11月1日之后，“少缴社保”变成一道财务计算题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事实层面：经济日报10月20日明确，11月1日起施行的税务新规将社保纳入全国统一的税务处罚裁量范围，用人单位不缴或少缴社保、经税务机关责令限期缴纳仍逾期未缴的，按欠缴数额最高可处3倍罚款。文章同时点名两种典型规避路径——“等发展好了再补缴”和“通过劳务派遣、外包不缴社保”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为什么这件事的分量被低估：过去社保违规的后果主要是“补缴+滞纳金+劳动仲裁”，属于事后成本，且可协商、可拖延；纳入税务处罚裁量后，违规从“民事/行政争议”变成“可量化、可处罚、可公示”的税务违法，处罚倍数最高3倍，直接进入企业的信用与融资视野。这意味着“少缴社保”的期望收益（省下的20%—30%人力成本）第一次被明确标上了可能更高的风险价格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对三类主体的具体影响：一是用工企业，派遣与外包的比价模型必须重算，报价单里“不缴社保”的隐性折扣将不复存在；二是人力资源服务机构，靠社保弹性构建的低价优势失效，竞争回到交付质量与响应速度；三是劳动者，需要纠正“社保可以折现”的认识误区——依法缴纳是企业的法定责任，不是可协商的福利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行动建议：第一，11月1日前完成存量派遣、外包、灵工协议的社保合规自查，识别“按最低基数缴纳”“异地参保”“以个体户结算替代参保”三类高风险结构；第二，重做2027年报价模型，把合规成本显性化，避免用旧价格签新合同；第三，把合规能力做成销售话术——在同行普遍涨价的窗口期，“我们一直合规”本身就是最有力的差异化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事件二：从文件到现场——算法协商与职业伤害保障，平台用工治理进入“可验证”阶段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事实层面：10月18日广东骑手算法协商征求意见会在广州举行，广东省总工会、省委社会工作部、省人社厅、省市场监管局、广州市总工会共同指导；平台披露自《平台劳动规则和算法协商指引（试行）》印发以来，全国各层级恳谈会累计50余场、收集诉求近1万条、形成120条议题、半数以上已改进落实。同期，职业伤害保障自2026年7月1日起在全国31个省份和新疆生产建设兵团全面推开，美团累计为约1900万骑手缴纳36亿元，实现“每单必保、每人必保”；“红灯停表”已在苏州全城、北京部分城区及无锡、镇江等地落地，30多个城市评估中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为什么这是一个转折点：此前对新就业形态的治理主要停留在“征求意见稿”“指导意见”层面，企业可以用“将配合”“正在研究”回应；而算法协商把治理变成了有台账、有议题编号、有落实率的过程管理——120条议题、半数以上已落实，是可以被工会、监管、媒体逐条核对的。同理，36亿元、1900万人、每单必保，这些数字让“保障投入”从承诺变成可审计的财务事实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深层影响在于成本结构的透明化。当头部平台把职业伤害保障、养老保险补贴（缴费基数50%）、算法补时全部显性化，跟随者的“低保障低成本”策略就失去了比较优势——因为监管和舆论有了参照系。这与社保入税是同一个逻辑的两面：合规成本一旦被公开定价，价格战就只能在效率层面打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风险提示：一是“协商”的代表性——一线骑手代表的产生机制若不透明，协商可能退化为形式；二是算法审查的专业能力——地方政府是否具备审查派单算法合理性的技术力量，目前仍是空白；三是多层分包的穿透执行——禁止诱导注册个体工商户已有明文，但取证难度极高，实际执行效果需要观察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行动建议：对平台及合作服务商，应把算法协商机制产品化（议题库、恳谈会节奏、落实率披露），把合规从成本中心转为信任资产；对人力服务机构，应尽快建立“平台用工合规审计”服务能力，这会是未来两年最确定的需求增量之一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两件事指向同一个结论：2026年的人力资源行业，监管不再靠“发文数量”施压，而是靠“可核对的数据”施压。企业的应对方式也必须从“表态”切换到“台账”。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趋势研判与风险提示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趋势一：合规成本从“新增支出”变成“存量内化”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社保入税处罚（11月1日）、职业伤害保障全国推开（7月1日）、新就业形态保障办法立法、对外承包工程管理条例修订——四条线在同一个季度交汇，说明合规已不再是“新增一项预算”，而是重算整个存量业务的成本结构。判断标准也随之改变：过去看谁能把成本做到最低，现在看谁能在合规成本上升的周期里，依然把交付做得又稳又便宜。这将加速中小机构的出清，头部机构的市场份额会以“并购+承接退出客户”的方式扩张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趋势二：招聘市场的“K型分化”已经定型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需求端：AI相关职位两年增长119%、养老/看护职位增速43.9%、具身智能年薪50万仍缺人；供给端：2027届国考缩招2400余人、银行秋招缩招并上AI面试、平台侧收入承压（智联-10%）。高技能岗位溢价与通用岗位通缩同时发生，中间层的“可被AI部分替代的职能岗”承受最大压力。对招聘服务商，这意味着必须选择站队：要么做深垂直高技能寻访（高单价、低量），要么做透规模化蓝领与基层交付（低单价、高量、强运营）。中间路线在两端挤压下难以存活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趋势三：出海用工从“派人”升级为“建组织”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长安东南亚本地员工占比70%、厦门国贸外派及属地化人员近300人、紫金矿业海外员工本地化95%—98%并设定中层80%本地化目标——中企出海已进入“属地化建团队”阶段。叠加对外承包工程“营业额强、新签弱”（营业额+5.8%、新签-3.0%）的结构，未来工程项下外派增量有限，而属地招聘、薪酬税务合规、跨文化管理、人员安全四条线的服务需求会持续放大。有属地交付能力的机构将获得定价权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风险提示：四个需要提前设防的变量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一是社保合规的过渡期风险。11月1日新规施行后，存量不合规协议若未及时调整，可能同时触发税务处罚与劳动仲裁，形成“双重敞口”；跨省派遣、异地参保的结构风险最高。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二是AI招聘的法律风险。Workday在加州AI招聘歧视诉讼中未能驳回核心主张，说明算法筛选的“不利影响”已具备可诉性；国内《个人信息保护法》与算法推荐管理规定同样适用于简历筛选，企业需保留人工复核记录与可解释性证据。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三是平台用工的责任穿透风险。禁止诱导注册个体工商户、禁止多层转包规避用工责任已入条文，平台对合作企业资质负有选任与监督义务——合作方资质不合格，平台承担用工主体责任。合作商管理将成为平台的实质风险敞口。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四是出海人员安全与地缘风险。中东局势紧张、区域冲突升级，境外项目的人员安全成本必须计入报价；同时《对外承包工程管理条例（修订草案）》征求意见11月9日截止，资质与备案条款的变动可能改变中小机构的市场准入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给从业者的三条行动线：第一，11月1日前完成社保合规自查并重做报价模型；第二，把AI能力折算成客户可计量的ROI，否则融资与续约都会失守；第三，出海业务从“签证与派工”升级为“属地组织交付”，这是未来三年最确定的增量。</w:t>
      </w:r>
    </w:p>
    <w:p>
      <w:pPr>
        <w:spacing w:after="40"/>
      </w:pPr>
    </w:p>
    <w:p>
      <w:pPr>
        <w:spacing w:after="0" w:line="312" w:lineRule="auto"/>
        <w:shd w:val="clear" w:fill="D62B1F"/>
      </w:pPr>
      <w:r>
        <w:rPr>
          <w:rFonts w:ascii="微软雅黑" w:hAnsi="微软雅黑" w:eastAsia="微软雅黑"/>
          <w:b/>
          <w:i w:val="0"/>
          <w:color w:val="FFFFFF"/>
          <w:sz w:val="23"/>
        </w:rPr>
        <w:t>一句话判断：</w:t>
      </w:r>
    </w:p>
    <w:p>
      <w:pPr>
        <w:spacing w:after="20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3"/>
        </w:rPr>
        <w:t>这一周，政策在算违法成本，资本在算回报倍数，劳动者在算到手收入。三者算的其实是同一本账：一份能长期维持的用工关系，必须同时让监管、股东和员工都算得过来。行业真正的分水岭，不是谁跑得更快，而是谁能在合规成本刚性上升的周期里，依然把交付做得又稳又便宜。</w:t>
      </w:r>
    </w:p>
    <w:p>
      <w:pPr>
        <w:spacing w:after="40" w:before="0" w:line="312" w:lineRule="auto"/>
        <w:jc w:val="center"/>
      </w:pPr>
      <w:r>
        <w:rPr>
          <w:rFonts w:ascii="微软雅黑" w:hAnsi="微软雅黑" w:eastAsia="微软雅黑"/>
          <w:b w:val="0"/>
          <w:i w:val="0"/>
          <w:color w:val="5C6B7A"/>
          <w:sz w:val="17"/>
        </w:rPr>
        <w:t>—— 本报告由AI自动抓取生成，数据来源为公开信息，仅供参考，不构成任何投资建议 ——</w:t>
      </w:r>
    </w:p>
    <w:p>
      <w:pPr>
        <w:spacing w:after="120" w:before="0" w:line="312" w:lineRule="auto"/>
        <w:jc w:val="center"/>
      </w:pPr>
      <w:r>
        <w:rPr>
          <w:rFonts w:ascii="微软雅黑" w:hAnsi="微软雅黑" w:eastAsia="微软雅黑"/>
          <w:b w:val="0"/>
          <w:i w:val="0"/>
          <w:color w:val="5C6B7A"/>
          <w:sz w:val="17"/>
        </w:rPr>
        <w:t>生成时间：2026-10-20 07:00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