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 ｜ 2026.10.16 — 10.23</w:t>
      </w:r>
    </w:p>
    <w:p>
      <w:pPr>
        <w:spacing w:after="200" w:before="0" w:line="312" w:lineRule="auto"/>
        <w:jc w:val="center"/>
      </w:pPr>
      <w:r>
        <w:rPr>
          <w:rFonts w:ascii="微软雅黑" w:hAnsi="微软雅黑" w:eastAsia="微软雅黑"/>
          <w:b w:val="0"/>
          <w:i w:val="0"/>
          <w:color w:val="5C6B7A"/>
          <w:sz w:val="21"/>
        </w:rPr>
        <w:t>报告周期：2026年10月16日 — 10月23日（滚动一周）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主线是「人力资源服务业自己成了高增长行业」。国家统计局前三季度数据里，租赁和商务服务业增加值同比增长12.3%（三季度12.9%），在所有行业中增速居前——服务别人的行业，跑得比被服务的行业快。与之配套的是三条同步推进的线：人社部把「央国企内推」骗局定性为诈骗、新就业形态保障办法征求意见稿把算法拉进监管、商务部数据显示对外劳务派出31.5万人同比多派4.4万人。需求见顶、监管收紧、服务出海，三者共同决定了四季度行业的分化方向。</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统计局10月19日数据：前三季度GDP 107.11万亿元、同比+4.6%；租赁和商务服务业增加值+12.3%，三季度单季+12.9%，为全行业增速前列</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城镇调查失业率均值5.2%与上年持平，9月5.2%环比降0.1个百分点；三季度末外出务工农村劳动力19270万人，同比仅+0.4%</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商务部：1—8月对外劳务派出31.5万人，同比多派4.4万人；月末在外劳务人员68.1万人，对外承包工程营业额同比+5.8%</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人社部等五部门联合提示「央国企内推」骗局：付费内推、直签保录被定性为诈骗，付费金额从数千元到数十万元</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全球HR科技TOP10市值单月缩水331亿美元（-8.0%），但一级市场一周内披露5笔融资，AI合规与一线员工运营成资金新方向</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三季度成绩单里的隐藏信号：人力资源服务业增速12.3%，跑赢绝大多数行业</w:t>
      </w:r>
    </w:p>
    <w:p>
      <w:pPr>
        <w:spacing w:after="140" w:before="0" w:line="312" w:lineRule="auto"/>
        <w:ind w:left="113"/>
      </w:pPr>
      <w:r>
        <w:rPr>
          <w:rFonts w:ascii="微软雅黑" w:hAnsi="微软雅黑" w:eastAsia="微软雅黑"/>
          <w:b w:val="0"/>
          <w:i w:val="0"/>
          <w:color w:val="202833"/>
          <w:sz w:val="22"/>
        </w:rPr>
        <w:t>国家统计局10月19日发布前三季度经济运行数据，10月20日补发三季度GDP初步核算结果：前三季度国内生产总值1071071亿元，按不变价计算同比增长4.6%；分季度看，一季度+5.0%、二季度+4.3%、三季度+4.5%，三季度环比+1.2%。三季度GDP绝对额375367亿元。</w:t>
      </w:r>
    </w:p>
    <w:p>
      <w:pPr>
        <w:spacing w:after="140" w:before="0" w:line="312" w:lineRule="auto"/>
        <w:ind w:left="113"/>
      </w:pPr>
      <w:r>
        <w:rPr>
          <w:rFonts w:ascii="微软雅黑" w:hAnsi="微软雅黑" w:eastAsia="微软雅黑"/>
          <w:b w:val="0"/>
          <w:i w:val="0"/>
          <w:color w:val="202833"/>
          <w:sz w:val="22"/>
        </w:rPr>
        <w:t>在所有行业里，有一组数据对人力资源从业者格外重要：前三季度租赁和商务服务业增加值同比增长12.3%，其中三季度单季增长12.9%，高于信息传输/软件和信息技术服务业的10.4%，也远高于GDP整体4.6%的增速。租赁和商务服务业是人力资源服务、劳务派遣、商务服务的主要统计归属，这意味着「帮别人配置劳动力的生意」，本身正处在扩张周期。</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同一份数据也给出了约束条件：三季度末外出务工农村劳动力总量19270万人，同比仅增长0.4%；全国企业就业人员周平均工作时间48.3小时，仍处高位。劳动力总量供给基本走平，行业增长只能来自「单位劳动力的服务附加值提升」——即外包层级上移、合规服务、技能培训与出海配置，而不是继续靠人头规模。</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就业与收入：5.2%的失业率背后，是「稳定」而非「宽松」</w:t>
      </w:r>
    </w:p>
    <w:p>
      <w:pPr>
        <w:spacing w:after="140" w:before="0" w:line="312" w:lineRule="auto"/>
        <w:ind w:left="113"/>
      </w:pPr>
      <w:r>
        <w:rPr>
          <w:rFonts w:ascii="微软雅黑" w:hAnsi="微软雅黑" w:eastAsia="微软雅黑"/>
          <w:b w:val="0"/>
          <w:i w:val="0"/>
          <w:color w:val="202833"/>
          <w:sz w:val="22"/>
        </w:rPr>
        <w:t>前三季度全国城镇调查失业率平均值为5.2%，与上年同期持平；9月份为5.2%，比上月下降0.1个百分点。本地户籍劳动力失业率5.2%，外来户籍5.1%，其中外来农业户籍5.0%；31个大城市城镇调查失业率5.2%，环比同样下降0.1个百分点。</w:t>
      </w:r>
    </w:p>
    <w:p>
      <w:pPr>
        <w:spacing w:after="140" w:before="0" w:line="312" w:lineRule="auto"/>
        <w:ind w:left="113"/>
      </w:pPr>
      <w:r>
        <w:rPr>
          <w:rFonts w:ascii="微软雅黑" w:hAnsi="微软雅黑" w:eastAsia="微软雅黑"/>
          <w:b w:val="0"/>
          <w:i w:val="0"/>
          <w:color w:val="202833"/>
          <w:sz w:val="22"/>
        </w:rPr>
        <w:t>收入端，前三季度全国居民人均可支配收入34230元，名义增长5.3%、实际增长4.4%；城镇居民44945元（名义+4.5%），农村居民18809元（名义+6.3%），城乡收入比2.39、同比缩小0.04。从来源看，人均工资性收入名义增长5.3%，与整体同步。</w:t>
      </w:r>
    </w:p>
    <w:p>
      <w:pPr>
        <w:spacing w:after="140" w:before="0" w:line="312" w:lineRule="auto"/>
        <w:ind w:left="113"/>
      </w:pPr>
      <w:r>
        <w:rPr>
          <w:rFonts w:ascii="微软雅黑" w:hAnsi="微软雅黑" w:eastAsia="微软雅黑"/>
          <w:b w:val="0"/>
          <w:i w:val="0"/>
          <w:color w:val="202833"/>
          <w:sz w:val="22"/>
        </w:rPr>
        <w:t>对企业的直接含义是：薪酬预算的扩张空间有限，整体「普调式涨薪」难以为继，「结构性调薪＋关键岗位技能溢价」正在成为主流做法。这也解释了为什么本周多地人社部门把工作重心放在技能培训与劳务品牌上，而不是简单扩大招聘场次。</w:t>
      </w:r>
    </w:p>
    <w:tbl>
      <w:tblPr>
        <w:tblW w:type="auto" w:w="0"/>
        <w:jc w:val="center"/>
        <w:tblLook w:firstColumn="1" w:firstRow="1" w:lastColumn="0" w:lastRow="0" w:noHBand="0" w:noVBand="1" w:val="04A0"/>
      </w:tblPr>
      <w:tblGrid>
        <w:gridCol w:w="2493"/>
        <w:gridCol w:w="2493"/>
        <w:gridCol w:w="2493"/>
        <w:gridCol w:w="2493"/>
      </w:tblGrid>
      <w:tr>
        <w:tc>
          <w:tcPr>
            <w:tcW w:type="dxa" w:w="2494"/>
            <w:vAlign w:val="center"/>
            <w:shd w:val="clear" w:fill="0F2452"/>
          </w:tcPr>
          <w:p>
            <w:pPr>
              <w:jc w:val="center"/>
            </w:pPr>
            <w:r/>
            <w:r>
              <w:rPr>
                <w:rFonts w:ascii="微软雅黑" w:hAnsi="微软雅黑" w:eastAsia="微软雅黑"/>
                <w:b/>
                <w:i w:val="0"/>
                <w:color w:val="FFFFFF"/>
                <w:sz w:val="21"/>
              </w:rPr>
              <w:t>指标</w:t>
            </w:r>
          </w:p>
        </w:tc>
        <w:tc>
          <w:tcPr>
            <w:tcW w:type="dxa" w:w="1928"/>
            <w:vAlign w:val="center"/>
            <w:shd w:val="clear" w:fill="0F2452"/>
          </w:tcPr>
          <w:p>
            <w:pPr>
              <w:jc w:val="center"/>
            </w:pPr>
            <w:r/>
            <w:r>
              <w:rPr>
                <w:rFonts w:ascii="微软雅黑" w:hAnsi="微软雅黑" w:eastAsia="微软雅黑"/>
                <w:b/>
                <w:i w:val="0"/>
                <w:color w:val="FFFFFF"/>
                <w:sz w:val="21"/>
              </w:rPr>
              <w:t>2026年前三季度</w:t>
            </w:r>
          </w:p>
        </w:tc>
        <w:tc>
          <w:tcPr>
            <w:tcW w:type="dxa" w:w="1701"/>
            <w:vAlign w:val="center"/>
            <w:shd w:val="clear" w:fill="0F2452"/>
          </w:tcPr>
          <w:p>
            <w:pPr>
              <w:jc w:val="center"/>
            </w:pPr>
            <w:r/>
            <w:r>
              <w:rPr>
                <w:rFonts w:ascii="微软雅黑" w:hAnsi="微软雅黑" w:eastAsia="微软雅黑"/>
                <w:b/>
                <w:i w:val="0"/>
                <w:color w:val="FFFFFF"/>
                <w:sz w:val="21"/>
              </w:rPr>
              <w:t>变化</w:t>
            </w:r>
          </w:p>
        </w:tc>
        <w:tc>
          <w:tcPr>
            <w:tcW w:type="dxa" w:w="3402"/>
            <w:vAlign w:val="center"/>
            <w:shd w:val="clear" w:fill="0F2452"/>
          </w:tcPr>
          <w:p>
            <w:pPr>
              <w:jc w:val="center"/>
            </w:pPr>
            <w:r/>
            <w:r>
              <w:rPr>
                <w:rFonts w:ascii="微软雅黑" w:hAnsi="微软雅黑" w:eastAsia="微软雅黑"/>
                <w:b/>
                <w:i w:val="0"/>
                <w:color w:val="FFFFFF"/>
                <w:sz w:val="21"/>
              </w:rPr>
              <w:t>对HR行业的含义</w:t>
            </w:r>
          </w:p>
        </w:tc>
      </w:tr>
      <w:tr>
        <w:tc>
          <w:tcPr>
            <w:tcW w:type="dxa" w:w="2494"/>
            <w:vAlign w:val="center"/>
          </w:tcPr>
          <w:p>
            <w:pPr>
              <w:jc w:val="center"/>
            </w:pPr>
            <w:r/>
            <w:r>
              <w:rPr>
                <w:rFonts w:ascii="微软雅黑" w:hAnsi="微软雅黑" w:eastAsia="微软雅黑"/>
                <w:b w:val="0"/>
                <w:i w:val="0"/>
                <w:color w:val="202833"/>
                <w:sz w:val="20"/>
              </w:rPr>
              <w:t>GDP（不变价）</w:t>
            </w:r>
          </w:p>
        </w:tc>
        <w:tc>
          <w:tcPr>
            <w:tcW w:type="dxa" w:w="1928"/>
            <w:vAlign w:val="center"/>
          </w:tcPr>
          <w:p>
            <w:pPr>
              <w:jc w:val="center"/>
            </w:pPr>
            <w:r/>
            <w:r>
              <w:rPr>
                <w:rFonts w:ascii="微软雅黑" w:hAnsi="微软雅黑" w:eastAsia="微软雅黑"/>
                <w:b w:val="0"/>
                <w:i w:val="0"/>
                <w:color w:val="202833"/>
                <w:sz w:val="20"/>
              </w:rPr>
              <w:t>107.11万亿元</w:t>
            </w:r>
          </w:p>
        </w:tc>
        <w:tc>
          <w:tcPr>
            <w:tcW w:type="dxa" w:w="1701"/>
            <w:vAlign w:val="center"/>
          </w:tcPr>
          <w:p>
            <w:pPr>
              <w:jc w:val="center"/>
            </w:pPr>
            <w:r/>
            <w:r>
              <w:rPr>
                <w:rFonts w:ascii="微软雅黑" w:hAnsi="微软雅黑" w:eastAsia="微软雅黑"/>
                <w:b w:val="0"/>
                <w:i w:val="0"/>
                <w:color w:val="202833"/>
                <w:sz w:val="20"/>
              </w:rPr>
              <w:t>同比+4.6%</w:t>
            </w:r>
          </w:p>
        </w:tc>
        <w:tc>
          <w:tcPr>
            <w:tcW w:type="dxa" w:w="3402"/>
            <w:vAlign w:val="center"/>
          </w:tcPr>
          <w:p>
            <w:pPr>
              <w:jc w:val="center"/>
            </w:pPr>
            <w:r/>
            <w:r>
              <w:rPr>
                <w:rFonts w:ascii="微软雅黑" w:hAnsi="微软雅黑" w:eastAsia="微软雅黑"/>
                <w:b w:val="0"/>
                <w:i w:val="0"/>
                <w:color w:val="202833"/>
                <w:sz w:val="20"/>
              </w:rPr>
              <w:t>需求温和，招聘预算难超预期扩张</w:t>
            </w:r>
          </w:p>
        </w:tc>
      </w:tr>
      <w:tr>
        <w:tc>
          <w:tcPr>
            <w:tcW w:type="dxa" w:w="2494"/>
            <w:vAlign w:val="center"/>
            <w:shd w:val="clear" w:fill="EAF1FB"/>
          </w:tcPr>
          <w:p>
            <w:pPr>
              <w:jc w:val="center"/>
            </w:pPr>
            <w:r/>
            <w:r>
              <w:rPr>
                <w:rFonts w:ascii="微软雅黑" w:hAnsi="微软雅黑" w:eastAsia="微软雅黑"/>
                <w:b w:val="0"/>
                <w:i w:val="0"/>
                <w:color w:val="202833"/>
                <w:sz w:val="20"/>
              </w:rPr>
              <w:t>租赁和商务服务业增加值</w:t>
            </w:r>
          </w:p>
        </w:tc>
        <w:tc>
          <w:tcPr>
            <w:tcW w:type="dxa" w:w="1928"/>
            <w:vAlign w:val="center"/>
            <w:shd w:val="clear" w:fill="EAF1FB"/>
          </w:tcPr>
          <w:p>
            <w:pPr>
              <w:jc w:val="center"/>
            </w:pPr>
            <w:r/>
            <w:r>
              <w:rPr>
                <w:rFonts w:ascii="微软雅黑" w:hAnsi="微软雅黑" w:eastAsia="微软雅黑"/>
                <w:b w:val="0"/>
                <w:i w:val="0"/>
                <w:color w:val="202833"/>
                <w:sz w:val="20"/>
              </w:rPr>
              <w:t>49748亿元</w:t>
            </w:r>
          </w:p>
        </w:tc>
        <w:tc>
          <w:tcPr>
            <w:tcW w:type="dxa" w:w="1701"/>
            <w:vAlign w:val="center"/>
            <w:shd w:val="clear" w:fill="EAF1FB"/>
          </w:tcPr>
          <w:p>
            <w:pPr>
              <w:jc w:val="center"/>
            </w:pPr>
            <w:r/>
            <w:r>
              <w:rPr>
                <w:rFonts w:ascii="微软雅黑" w:hAnsi="微软雅黑" w:eastAsia="微软雅黑"/>
                <w:b w:val="0"/>
                <w:i w:val="0"/>
                <w:color w:val="202833"/>
                <w:sz w:val="20"/>
              </w:rPr>
              <w:t>同比+12.3%</w:t>
            </w:r>
          </w:p>
        </w:tc>
        <w:tc>
          <w:tcPr>
            <w:tcW w:type="dxa" w:w="3402"/>
            <w:vAlign w:val="center"/>
            <w:shd w:val="clear" w:fill="EAF1FB"/>
          </w:tcPr>
          <w:p>
            <w:pPr>
              <w:jc w:val="center"/>
            </w:pPr>
            <w:r/>
            <w:r>
              <w:rPr>
                <w:rFonts w:ascii="微软雅黑" w:hAnsi="微软雅黑" w:eastAsia="微软雅黑"/>
                <w:b w:val="0"/>
                <w:i w:val="0"/>
                <w:color w:val="202833"/>
                <w:sz w:val="20"/>
              </w:rPr>
              <w:t>人服行业自身处于扩张周期</w:t>
            </w:r>
          </w:p>
        </w:tc>
      </w:tr>
      <w:tr>
        <w:tc>
          <w:tcPr>
            <w:tcW w:type="dxa" w:w="2494"/>
            <w:vAlign w:val="center"/>
          </w:tcPr>
          <w:p>
            <w:pPr>
              <w:jc w:val="center"/>
            </w:pPr>
            <w:r/>
            <w:r>
              <w:rPr>
                <w:rFonts w:ascii="微软雅黑" w:hAnsi="微软雅黑" w:eastAsia="微软雅黑"/>
                <w:b w:val="0"/>
                <w:i w:val="0"/>
                <w:color w:val="202833"/>
                <w:sz w:val="20"/>
              </w:rPr>
              <w:t>城镇调查失业率</w:t>
            </w:r>
          </w:p>
        </w:tc>
        <w:tc>
          <w:tcPr>
            <w:tcW w:type="dxa" w:w="1928"/>
            <w:vAlign w:val="center"/>
          </w:tcPr>
          <w:p>
            <w:pPr>
              <w:jc w:val="center"/>
            </w:pPr>
            <w:r/>
            <w:r>
              <w:rPr>
                <w:rFonts w:ascii="微软雅黑" w:hAnsi="微软雅黑" w:eastAsia="微软雅黑"/>
                <w:b w:val="0"/>
                <w:i w:val="0"/>
                <w:color w:val="202833"/>
                <w:sz w:val="20"/>
              </w:rPr>
              <w:t>均值5.2%</w:t>
            </w:r>
          </w:p>
        </w:tc>
        <w:tc>
          <w:tcPr>
            <w:tcW w:type="dxa" w:w="1701"/>
            <w:vAlign w:val="center"/>
          </w:tcPr>
          <w:p>
            <w:pPr>
              <w:jc w:val="center"/>
            </w:pPr>
            <w:r/>
            <w:r>
              <w:rPr>
                <w:rFonts w:ascii="微软雅黑" w:hAnsi="微软雅黑" w:eastAsia="微软雅黑"/>
                <w:b w:val="0"/>
                <w:i w:val="0"/>
                <w:color w:val="202833"/>
                <w:sz w:val="20"/>
              </w:rPr>
              <w:t>与上年持平</w:t>
            </w:r>
          </w:p>
        </w:tc>
        <w:tc>
          <w:tcPr>
            <w:tcW w:type="dxa" w:w="3402"/>
            <w:vAlign w:val="center"/>
          </w:tcPr>
          <w:p>
            <w:pPr>
              <w:jc w:val="center"/>
            </w:pPr>
            <w:r/>
            <w:r>
              <w:rPr>
                <w:rFonts w:ascii="微软雅黑" w:hAnsi="微软雅黑" w:eastAsia="微软雅黑"/>
                <w:b w:val="0"/>
                <w:i w:val="0"/>
                <w:color w:val="202833"/>
                <w:sz w:val="20"/>
              </w:rPr>
              <w:t>总量稳定，压力集中于青年与转岗</w:t>
            </w:r>
          </w:p>
        </w:tc>
      </w:tr>
      <w:tr>
        <w:tc>
          <w:tcPr>
            <w:tcW w:type="dxa" w:w="2494"/>
            <w:vAlign w:val="center"/>
            <w:shd w:val="clear" w:fill="EAF1FB"/>
          </w:tcPr>
          <w:p>
            <w:pPr>
              <w:jc w:val="center"/>
            </w:pPr>
            <w:r/>
            <w:r>
              <w:rPr>
                <w:rFonts w:ascii="微软雅黑" w:hAnsi="微软雅黑" w:eastAsia="微软雅黑"/>
                <w:b w:val="0"/>
                <w:i w:val="0"/>
                <w:color w:val="202833"/>
                <w:sz w:val="20"/>
              </w:rPr>
              <w:t>9月失业率</w:t>
            </w:r>
          </w:p>
        </w:tc>
        <w:tc>
          <w:tcPr>
            <w:tcW w:type="dxa" w:w="1928"/>
            <w:vAlign w:val="center"/>
            <w:shd w:val="clear" w:fill="EAF1FB"/>
          </w:tcPr>
          <w:p>
            <w:pPr>
              <w:jc w:val="center"/>
            </w:pPr>
            <w:r/>
            <w:r>
              <w:rPr>
                <w:rFonts w:ascii="微软雅黑" w:hAnsi="微软雅黑" w:eastAsia="微软雅黑"/>
                <w:b w:val="0"/>
                <w:i w:val="0"/>
                <w:color w:val="202833"/>
                <w:sz w:val="20"/>
              </w:rPr>
              <w:t>5.2%</w:t>
            </w:r>
          </w:p>
        </w:tc>
        <w:tc>
          <w:tcPr>
            <w:tcW w:type="dxa" w:w="1701"/>
            <w:vAlign w:val="center"/>
            <w:shd w:val="clear" w:fill="EAF1FB"/>
          </w:tcPr>
          <w:p>
            <w:pPr>
              <w:jc w:val="center"/>
            </w:pPr>
            <w:r/>
            <w:r>
              <w:rPr>
                <w:rFonts w:ascii="微软雅黑" w:hAnsi="微软雅黑" w:eastAsia="微软雅黑"/>
                <w:b w:val="0"/>
                <w:i w:val="0"/>
                <w:color w:val="202833"/>
                <w:sz w:val="20"/>
              </w:rPr>
              <w:t>环比-0.1pct</w:t>
            </w:r>
          </w:p>
        </w:tc>
        <w:tc>
          <w:tcPr>
            <w:tcW w:type="dxa" w:w="3402"/>
            <w:vAlign w:val="center"/>
            <w:shd w:val="clear" w:fill="EAF1FB"/>
          </w:tcPr>
          <w:p>
            <w:pPr>
              <w:jc w:val="center"/>
            </w:pPr>
            <w:r/>
            <w:r>
              <w:rPr>
                <w:rFonts w:ascii="微软雅黑" w:hAnsi="微软雅黑" w:eastAsia="微软雅黑"/>
                <w:b w:val="0"/>
                <w:i w:val="0"/>
                <w:color w:val="202833"/>
                <w:sz w:val="20"/>
              </w:rPr>
              <w:t>季节性改善，未回低位</w:t>
            </w:r>
          </w:p>
        </w:tc>
      </w:tr>
      <w:tr>
        <w:tc>
          <w:tcPr>
            <w:tcW w:type="dxa" w:w="2494"/>
            <w:vAlign w:val="center"/>
          </w:tcPr>
          <w:p>
            <w:pPr>
              <w:jc w:val="center"/>
            </w:pPr>
            <w:r/>
            <w:r>
              <w:rPr>
                <w:rFonts w:ascii="微软雅黑" w:hAnsi="微软雅黑" w:eastAsia="微软雅黑"/>
                <w:b w:val="0"/>
                <w:i w:val="0"/>
                <w:color w:val="202833"/>
                <w:sz w:val="20"/>
              </w:rPr>
              <w:t>外出务工农村劳动力</w:t>
            </w:r>
          </w:p>
        </w:tc>
        <w:tc>
          <w:tcPr>
            <w:tcW w:type="dxa" w:w="1928"/>
            <w:vAlign w:val="center"/>
          </w:tcPr>
          <w:p>
            <w:pPr>
              <w:jc w:val="center"/>
            </w:pPr>
            <w:r/>
            <w:r>
              <w:rPr>
                <w:rFonts w:ascii="微软雅黑" w:hAnsi="微软雅黑" w:eastAsia="微软雅黑"/>
                <w:b w:val="0"/>
                <w:i w:val="0"/>
                <w:color w:val="202833"/>
                <w:sz w:val="20"/>
              </w:rPr>
              <w:t>19270万人</w:t>
            </w:r>
          </w:p>
        </w:tc>
        <w:tc>
          <w:tcPr>
            <w:tcW w:type="dxa" w:w="1701"/>
            <w:vAlign w:val="center"/>
          </w:tcPr>
          <w:p>
            <w:pPr>
              <w:jc w:val="center"/>
            </w:pPr>
            <w:r/>
            <w:r>
              <w:rPr>
                <w:rFonts w:ascii="微软雅黑" w:hAnsi="微软雅黑" w:eastAsia="微软雅黑"/>
                <w:b w:val="0"/>
                <w:i w:val="0"/>
                <w:color w:val="202833"/>
                <w:sz w:val="20"/>
              </w:rPr>
              <w:t>同比+0.4%</w:t>
            </w:r>
          </w:p>
        </w:tc>
        <w:tc>
          <w:tcPr>
            <w:tcW w:type="dxa" w:w="3402"/>
            <w:vAlign w:val="center"/>
          </w:tcPr>
          <w:p>
            <w:pPr>
              <w:jc w:val="center"/>
            </w:pPr>
            <w:r/>
            <w:r>
              <w:rPr>
                <w:rFonts w:ascii="微软雅黑" w:hAnsi="微软雅黑" w:eastAsia="微软雅黑"/>
                <w:b w:val="0"/>
                <w:i w:val="0"/>
                <w:color w:val="202833"/>
                <w:sz w:val="20"/>
              </w:rPr>
              <w:t>劳务输出增量见顶，转向技能与出海</w:t>
            </w:r>
          </w:p>
        </w:tc>
      </w:tr>
      <w:tr>
        <w:tc>
          <w:tcPr>
            <w:tcW w:type="dxa" w:w="2494"/>
            <w:vAlign w:val="center"/>
            <w:shd w:val="clear" w:fill="EAF1FB"/>
          </w:tcPr>
          <w:p>
            <w:pPr>
              <w:jc w:val="center"/>
            </w:pPr>
            <w:r/>
            <w:r>
              <w:rPr>
                <w:rFonts w:ascii="微软雅黑" w:hAnsi="微软雅黑" w:eastAsia="微软雅黑"/>
                <w:b w:val="0"/>
                <w:i w:val="0"/>
                <w:color w:val="202833"/>
                <w:sz w:val="20"/>
              </w:rPr>
              <w:t>周平均工作时间</w:t>
            </w:r>
          </w:p>
        </w:tc>
        <w:tc>
          <w:tcPr>
            <w:tcW w:type="dxa" w:w="1928"/>
            <w:vAlign w:val="center"/>
            <w:shd w:val="clear" w:fill="EAF1FB"/>
          </w:tcPr>
          <w:p>
            <w:pPr>
              <w:jc w:val="center"/>
            </w:pPr>
            <w:r/>
            <w:r>
              <w:rPr>
                <w:rFonts w:ascii="微软雅黑" w:hAnsi="微软雅黑" w:eastAsia="微软雅黑"/>
                <w:b w:val="0"/>
                <w:i w:val="0"/>
                <w:color w:val="202833"/>
                <w:sz w:val="20"/>
              </w:rPr>
              <w:t>48.3小时</w:t>
            </w:r>
          </w:p>
        </w:tc>
        <w:tc>
          <w:tcPr>
            <w:tcW w:type="dxa" w:w="1701"/>
            <w:vAlign w:val="center"/>
            <w:shd w:val="clear" w:fill="EAF1FB"/>
          </w:tcPr>
          <w:p>
            <w:pPr>
              <w:jc w:val="center"/>
            </w:pPr>
            <w:r/>
            <w:r>
              <w:rPr>
                <w:rFonts w:ascii="微软雅黑" w:hAnsi="微软雅黑" w:eastAsia="微软雅黑"/>
                <w:b w:val="0"/>
                <w:i w:val="0"/>
                <w:color w:val="202833"/>
                <w:sz w:val="20"/>
              </w:rPr>
              <w:t>高位</w:t>
            </w:r>
          </w:p>
        </w:tc>
        <w:tc>
          <w:tcPr>
            <w:tcW w:type="dxa" w:w="3402"/>
            <w:vAlign w:val="center"/>
            <w:shd w:val="clear" w:fill="EAF1FB"/>
          </w:tcPr>
          <w:p>
            <w:pPr>
              <w:jc w:val="center"/>
            </w:pPr>
            <w:r/>
            <w:r>
              <w:rPr>
                <w:rFonts w:ascii="微软雅黑" w:hAnsi="微软雅黑" w:eastAsia="微软雅黑"/>
                <w:b w:val="0"/>
                <w:i w:val="0"/>
                <w:color w:val="202833"/>
                <w:sz w:val="20"/>
              </w:rPr>
              <w:t>「减时」诉求上升，工时合规加压</w:t>
            </w:r>
          </w:p>
        </w:tc>
      </w:tr>
      <w:tr>
        <w:tc>
          <w:tcPr>
            <w:tcW w:type="dxa" w:w="2494"/>
            <w:vAlign w:val="center"/>
          </w:tcPr>
          <w:p>
            <w:pPr>
              <w:jc w:val="center"/>
            </w:pPr>
            <w:r/>
            <w:r>
              <w:rPr>
                <w:rFonts w:ascii="微软雅黑" w:hAnsi="微软雅黑" w:eastAsia="微软雅黑"/>
                <w:b w:val="0"/>
                <w:i w:val="0"/>
                <w:color w:val="202833"/>
                <w:sz w:val="20"/>
              </w:rPr>
              <w:t>人均可支配收入</w:t>
            </w:r>
          </w:p>
        </w:tc>
        <w:tc>
          <w:tcPr>
            <w:tcW w:type="dxa" w:w="1928"/>
            <w:vAlign w:val="center"/>
          </w:tcPr>
          <w:p>
            <w:pPr>
              <w:jc w:val="center"/>
            </w:pPr>
            <w:r/>
            <w:r>
              <w:rPr>
                <w:rFonts w:ascii="微软雅黑" w:hAnsi="微软雅黑" w:eastAsia="微软雅黑"/>
                <w:b w:val="0"/>
                <w:i w:val="0"/>
                <w:color w:val="202833"/>
                <w:sz w:val="20"/>
              </w:rPr>
              <w:t>34230元</w:t>
            </w:r>
          </w:p>
        </w:tc>
        <w:tc>
          <w:tcPr>
            <w:tcW w:type="dxa" w:w="1701"/>
            <w:vAlign w:val="center"/>
          </w:tcPr>
          <w:p>
            <w:pPr>
              <w:jc w:val="center"/>
            </w:pPr>
            <w:r/>
            <w:r>
              <w:rPr>
                <w:rFonts w:ascii="微软雅黑" w:hAnsi="微软雅黑" w:eastAsia="微软雅黑"/>
                <w:b w:val="0"/>
                <w:i w:val="0"/>
                <w:color w:val="202833"/>
                <w:sz w:val="20"/>
              </w:rPr>
              <w:t>名义+5.3%</w:t>
            </w:r>
          </w:p>
        </w:tc>
        <w:tc>
          <w:tcPr>
            <w:tcW w:type="dxa" w:w="3402"/>
            <w:vAlign w:val="center"/>
          </w:tcPr>
          <w:p>
            <w:pPr>
              <w:jc w:val="center"/>
            </w:pPr>
            <w:r/>
            <w:r>
              <w:rPr>
                <w:rFonts w:ascii="微软雅黑" w:hAnsi="微软雅黑" w:eastAsia="微软雅黑"/>
                <w:b w:val="0"/>
                <w:i w:val="0"/>
                <w:color w:val="202833"/>
                <w:sz w:val="20"/>
              </w:rPr>
              <w:t>薪酬涨幅有限，结构调薪为主</w:t>
            </w:r>
          </w:p>
        </w:tc>
      </w:tr>
    </w:tbl>
    <w:p>
      <w:pPr>
        <w:spacing w:after="40"/>
      </w:pP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一周三件事：监管同时收紧「招聘入口」与「算法过程」</w:t>
      </w:r>
    </w:p>
    <w:p>
      <w:pPr>
        <w:spacing w:after="140" w:before="0" w:line="312" w:lineRule="auto"/>
        <w:ind w:left="113"/>
      </w:pPr>
      <w:r>
        <w:rPr>
          <w:rFonts w:ascii="微软雅黑" w:hAnsi="微软雅黑" w:eastAsia="微软雅黑"/>
          <w:b w:val="0"/>
          <w:i w:val="0"/>
          <w:color w:val="202833"/>
          <w:sz w:val="22"/>
        </w:rPr>
        <w:t>本周人社系统的动作密度罕见。10月16日发布、10月21日经《人民日报》全文转发的《警惕「央国企内推」等骗局风险提示》，由人社部、中央网信办、教育部、公安部、国务院国资委五部门联合发出；10月19日《经济日报》以整版篇幅解读《新就业形态劳动者权益保障办法（征求意见稿）》，聚焦算法取中、人工干预与用工归属；10月20日，秋季专场第二批155场就业服务活动公布，把105场招聘会、29场直播带岗直接压到10月19日至11月8日的窗口里。三件事分别对应「入口真实性」「过程公平性」「匹配效率」，是招聘服务链条上最容易失守的三个环节。</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智联招聘：收入承压的另一面，是被政府项目「反向选择」</w:t>
      </w:r>
    </w:p>
    <w:p>
      <w:pPr>
        <w:spacing w:after="140" w:before="0" w:line="312" w:lineRule="auto"/>
        <w:ind w:left="113"/>
      </w:pPr>
      <w:r>
        <w:rPr>
          <w:rFonts w:ascii="微软雅黑" w:hAnsi="微软雅黑" w:eastAsia="微软雅黑"/>
          <w:b w:val="0"/>
          <w:i w:val="0"/>
          <w:color w:val="202833"/>
          <w:sz w:val="22"/>
        </w:rPr>
        <w:t>HRTechChina此前的独家报道显示，智联招聘2026财年收入约23.71亿元、同比下降10%，而BOSS直聘仍保持增长、猎聘处于收入承压状态，三家头部平台走出明显不同的曲线。本周这份数据有了新的观察角度：在人社部10月20日公布的秋季专场第二批155场活动承办名单中，智联招聘并未出现在平台承办序列，而同类平台拿到了明确的场次配额。</w:t>
      </w:r>
    </w:p>
    <w:p>
      <w:pPr>
        <w:spacing w:after="140" w:before="0" w:line="312" w:lineRule="auto"/>
        <w:ind w:left="113"/>
      </w:pPr>
      <w:r>
        <w:rPr>
          <w:rFonts w:ascii="微软雅黑" w:hAnsi="微软雅黑" w:eastAsia="微软雅黑"/>
          <w:b w:val="0"/>
          <w:i w:val="0"/>
          <w:color w:val="202833"/>
          <w:sz w:val="22"/>
        </w:rPr>
        <w:t>对平台而言，公共就业服务项目正在成为一块「既要有流量、更要有交付」的市场：承接方需要具备岗位真实性的审核能力、线下活动组织能力与数据回流能力，而不只是简历库规模。这也是智联这类以「广告＋会员」为主要收入模型的平台，在转型期最现实的缺口。</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BOSS直聘：155场活动里拿到两个行业专场，AI与制造业是主战场</w:t>
      </w:r>
    </w:p>
    <w:p>
      <w:pPr>
        <w:spacing w:after="140" w:before="0" w:line="312" w:lineRule="auto"/>
        <w:ind w:left="113"/>
      </w:pPr>
      <w:r>
        <w:rPr>
          <w:rFonts w:ascii="微软雅黑" w:hAnsi="微软雅黑" w:eastAsia="微软雅黑"/>
          <w:b w:val="0"/>
          <w:i w:val="0"/>
          <w:color w:val="202833"/>
          <w:sz w:val="22"/>
        </w:rPr>
        <w:t>人社部10月20日发布的第二批155场活动清单中，BOSS直聘承办医疗器械行业专场与现代服务业专场，时间跨度均为10月19日至11月8日；同道猎聘承办电子芯片、机械制造、人工智能三个行业专场；中智招聘承办建筑工程与华东地区专场；国投人力（国聘）承办数字经济与半导体、先进制造与专精特新、海洋经济、粤港澳大湾区青年人才对接四个专场；阿里国际站承办跨境电商专场；医脉同道承办医药专场；一览英才网承办电力新能源专场。</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份名单本身就是一张「招聘需求热力图」：人工智能、新能源、半导体、医疗器械、跨境电商、海洋经济——新增岗位集中在技术密集与出海导向的行业，而传统通用类岗位的场次明显减少。平台之间的竞争，正在从「谁的用户多」变成「谁能在特定产业链上组织起有效供需」。</w:t>
      </w:r>
    </w:p>
    <w:p>
      <w:pPr>
        <w:spacing w:after="140" w:before="0" w:line="312" w:lineRule="auto"/>
        <w:ind w:left="113"/>
      </w:pPr>
      <w:r>
        <w:rPr>
          <w:rFonts w:ascii="微软雅黑" w:hAnsi="微软雅黑" w:eastAsia="微软雅黑"/>
          <w:b w:val="0"/>
          <w:i w:val="0"/>
          <w:color w:val="202833"/>
          <w:sz w:val="22"/>
        </w:rPr>
        <w:t>值得对照的是BOSS直聘此前披露的二季度数据：营收23.99亿元、经营利润同比增长32.6%，月活突破7000万。在整体招聘预算收缩的环境下，利润率高增说明其商业化效率在提升，但也意味着客户侧的付费压力在加大——这是平台与中小企业客户之间的下一次博弈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公共招聘基础设施：中国国家人才网承接「总入口」，平台退居承办方</w:t>
      </w:r>
    </w:p>
    <w:p>
      <w:pPr>
        <w:spacing w:after="140" w:before="0" w:line="312" w:lineRule="auto"/>
        <w:ind w:left="113"/>
      </w:pPr>
      <w:r>
        <w:rPr>
          <w:rFonts w:ascii="微软雅黑" w:hAnsi="微软雅黑" w:eastAsia="微软雅黑"/>
          <w:b w:val="0"/>
          <w:i w:val="0"/>
          <w:color w:val="202833"/>
          <w:sz w:val="22"/>
        </w:rPr>
        <w:t>值得注意的是流程设计。155场活动统一通过中国国家人才网「2026年全国城市联合招聘高校毕业生秋季专场活动」主会场查询与参与，各平台只作为具体场次的承办单位。这意味着公共就业服务的流量入口正在向官方平台集中，市场化平台则被定位为「交付执行方」。对行业的影响是双向的：平台获得了确定性的岗位供给与政府背书，但议价权与用户数据主导权相应削弱。</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虚假招聘治理：从「提示」升级为「定性」</w:t>
      </w:r>
    </w:p>
    <w:p>
      <w:pPr>
        <w:spacing w:after="140" w:before="0" w:line="312" w:lineRule="auto"/>
        <w:ind w:left="113"/>
      </w:pPr>
      <w:r>
        <w:rPr>
          <w:rFonts w:ascii="微软雅黑" w:hAnsi="微软雅黑" w:eastAsia="微软雅黑"/>
          <w:b w:val="0"/>
          <w:i w:val="0"/>
          <w:color w:val="202833"/>
          <w:sz w:val="22"/>
        </w:rPr>
        <w:t>五部门风险提示的措辞值得逐字阅读：不法分子「冒用央国企名义发布虚假招聘信息引流」「虚构内部推荐渠道骗取信任」「巧立名目收取费用实施诈骗」，收费名目包括内推服务费、面试打点费、入职保证金、定金，金额从数千元至数十万元，有的还会伪造劳动合同与就业协议。提示同时明确，正规央国企招聘不收取报名费、手续费、资料费、介绍费、服务费等任何费用。对招聘平台而言，这意味着「付费内推类广告」与「保录类内容」将成为明确的高危品类，内容审核与账号资质核验需要前置到投放环节。</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商务部数据：1—8月派出31.5万人，同比多派4.4万人，结构向承包工程倾斜</w:t>
      </w:r>
    </w:p>
    <w:p>
      <w:pPr>
        <w:spacing w:after="140" w:before="0" w:line="312" w:lineRule="auto"/>
        <w:ind w:left="113"/>
      </w:pPr>
      <w:r>
        <w:rPr>
          <w:rFonts w:ascii="微软雅黑" w:hAnsi="微软雅黑" w:eastAsia="微软雅黑"/>
          <w:b w:val="0"/>
          <w:i w:val="0"/>
          <w:color w:val="202833"/>
          <w:sz w:val="22"/>
        </w:rPr>
        <w:t>商务部对外投资和经济合作司公布的《2026年1—8月我国对外劳务合作业务简明统计》显示：我国企业共向境外派出各类劳务人员31.5万人，较上年同期增加4.4万人；其中承包工程项下派出9.2万人，劳务合作项下派出22.3万人；月末在外各类劳务人员68.1万人。</w:t>
      </w:r>
    </w:p>
    <w:p>
      <w:pPr>
        <w:spacing w:after="140" w:before="0" w:line="312" w:lineRule="auto"/>
        <w:ind w:left="113"/>
      </w:pPr>
      <w:r>
        <w:rPr>
          <w:rFonts w:ascii="微软雅黑" w:hAnsi="微软雅黑" w:eastAsia="微软雅黑"/>
          <w:b w:val="0"/>
          <w:i w:val="0"/>
          <w:color w:val="202833"/>
          <w:sz w:val="22"/>
        </w:rPr>
        <w:t>同期的对外承包工程数据提供了需求侧印证：1—8月完成营业额7937.1亿元人民币，同比增长5.8%（美元计1156.1亿美元、增长9.9%）；新签合同额11763.2亿元人民币，同比下降3.0%（美元计1713.4亿美元、增长0.7%）。营业额增速高于新签合同额，说明存量项目进入施工高峰，对一线技术工种的需求正在集中释放。</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个容易被忽略的对比：同期全行业对外直接投资7784.7亿元人民币、同比下降0.6%（美元计1133.9亿美元、增长3.9%），其中非金融类直接投资5950.6亿元、下降14.4%。资本出海在收缩，人跟着项目走的速度却在上升——这轮劳务输出的驱动力主要来自工程承包，而非投资建厂。</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青岛：全国首个人力资源出海综合服务港，把「派人」做成「服务体系」</w:t>
      </w:r>
    </w:p>
    <w:p>
      <w:pPr>
        <w:spacing w:after="140" w:before="0" w:line="312" w:lineRule="auto"/>
        <w:ind w:left="113"/>
      </w:pPr>
      <w:r>
        <w:rPr>
          <w:rFonts w:ascii="微软雅黑" w:hAnsi="微软雅黑" w:eastAsia="微软雅黑"/>
          <w:b w:val="0"/>
          <w:i w:val="0"/>
          <w:color w:val="202833"/>
          <w:sz w:val="22"/>
        </w:rPr>
        <w:t>《中国劳动保障报》10月22日报道，青岛市依托人力资源服务出口基地与产业园的协同优势，建成全国首个人力资源出海综合服务港，设置跨境人力资源服务专区、国际人才服务专区、全球人才会客厅等功能分区，实现「一站式集成、全链条赋能」。</w:t>
      </w:r>
    </w:p>
    <w:p>
      <w:pPr>
        <w:spacing w:after="140" w:before="0" w:line="312" w:lineRule="auto"/>
        <w:ind w:left="113"/>
      </w:pPr>
      <w:r>
        <w:rPr>
          <w:rFonts w:ascii="微软雅黑" w:hAnsi="微软雅黑" w:eastAsia="微软雅黑"/>
          <w:b w:val="0"/>
          <w:i w:val="0"/>
          <w:color w:val="202833"/>
          <w:sz w:val="22"/>
        </w:rPr>
        <w:t>更具复制价值的是标准化的部分：青岛国家级人力资源服务出口基地牵头发起成立山东省人力资源服务出海联合体，集聚全省80余家机构，架构四大专业集群；编制发布《山东省人力资源国际服务事项清单》，围绕「引进来、走出去」构建国际人才配置、跨境服务外包等8大核心模块、80项精细化服务产品；编制《青岛市企业出海人力资源服务指南》，覆盖亚、欧、美三大洲20个国家与地区的人力资源配置策略与合规要求。</w:t>
      </w:r>
    </w:p>
    <w:p>
      <w:pPr>
        <w:spacing w:after="140" w:before="0" w:line="312" w:lineRule="auto"/>
        <w:ind w:left="113"/>
      </w:pPr>
      <w:r>
        <w:rPr>
          <w:rFonts w:ascii="微软雅黑" w:hAnsi="微软雅黑" w:eastAsia="微软雅黑"/>
          <w:b w:val="0"/>
          <w:i w:val="0"/>
          <w:color w:val="202833"/>
          <w:sz w:val="22"/>
        </w:rPr>
        <w:t>这套做法的意义在于，它把「出国劳务」从单一的人员派出，升级为「多国雇佣合规＋跨境薪酬＋签证配额＋属地化培训」的组合服务。对中小机构来说，单打独斗做不了这类交付；对区域政府来说，联合体＋服务清单是最低成本的能力聚合方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风险侧：境内「付费内推」与境外「签证违规」是两条并行的红线</w:t>
      </w:r>
    </w:p>
    <w:p>
      <w:pPr>
        <w:spacing w:after="140" w:before="0" w:line="312" w:lineRule="auto"/>
        <w:ind w:left="113"/>
      </w:pPr>
      <w:r>
        <w:rPr>
          <w:rFonts w:ascii="微软雅黑" w:hAnsi="微软雅黑" w:eastAsia="微软雅黑"/>
          <w:b w:val="0"/>
          <w:i w:val="0"/>
          <w:color w:val="202833"/>
          <w:sz w:val="22"/>
        </w:rPr>
        <w:t>本周境内最大的劳务风险事件仍是五部门联合提示的「央国企内推」骗局，主要受害群体是应届高校毕业生及其家长，作案模式为公域引流、私域转化，一旦得手即解散群组或拉黑失联。境外侧的风险则集中在签证路径合法性上——此前驻外使领馆已就非法务工、签证与目的不符被查获遣返发出提醒。对劳务输出机构而言，资质、备案与签证路径的合法性是不可让渡的底线；对求职者而言，任何要求提前付费、承诺「包过包录」的中介都应直接排除。</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制度侧：出境入境中介服务备案管理进入执行期</w:t>
      </w:r>
    </w:p>
    <w:p>
      <w:pPr>
        <w:spacing w:after="140" w:before="0" w:line="312" w:lineRule="auto"/>
        <w:ind w:left="113"/>
      </w:pPr>
      <w:r>
        <w:rPr>
          <w:rFonts w:ascii="微软雅黑" w:hAnsi="微软雅黑" w:eastAsia="微软雅黑"/>
          <w:b w:val="0"/>
          <w:i w:val="0"/>
          <w:color w:val="202833"/>
          <w:sz w:val="22"/>
        </w:rPr>
        <w:t>公安部出入境管理局与市场监管总局联合发布的《从事出境入境中介服务的机构和人员备案管理办法》公告（2026年第6号）相关地方备案工作已陆续落地。办法的核心是把「谁有资格做跨境中介」从模糊地带拉到备案清单上，未备案从事相关业务将面临查处。这与人力资源服务许可、对外劳务合作经营资格共同构成三层准入，未来「无资质接单、层层转包」的操作空间会被显著压缩。</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征求意见稿的实质：把算法拉进劳动规则，把责任穿透到平台</w:t>
      </w:r>
    </w:p>
    <w:p>
      <w:pPr>
        <w:spacing w:after="140" w:before="0" w:line="312" w:lineRule="auto"/>
        <w:ind w:left="113"/>
      </w:pPr>
      <w:r>
        <w:rPr>
          <w:rFonts w:ascii="微软雅黑" w:hAnsi="微软雅黑" w:eastAsia="微软雅黑"/>
          <w:b w:val="0"/>
          <w:i w:val="0"/>
          <w:color w:val="202833"/>
          <w:sz w:val="22"/>
        </w:rPr>
        <w:t>《经济日报》10月19日对《新就业形态劳动者权益保障办法（征求意见稿）》的解读，披露了几个关键的制度设计。第一是「算法取中」原则，同时明确用人单位的解释义务、自动化决策中的人工干预义务，并赋予工会监督与政府部门算法合理性审查的权力。中国劳动和社会保障科学研究院研究员黄昆指出，征求意见稿体现了监管有限性原则，将算法监管限定在劳动规则之内，仅涉及与报酬权、隐私权、救济申诉权等基本权利相关事项。</w:t>
      </w:r>
    </w:p>
    <w:p>
      <w:pPr>
        <w:spacing w:after="140" w:before="0" w:line="312" w:lineRule="auto"/>
        <w:ind w:left="113"/>
      </w:pPr>
      <w:r>
        <w:rPr>
          <w:rFonts w:ascii="微软雅黑" w:hAnsi="微软雅黑" w:eastAsia="微软雅黑"/>
          <w:b w:val="0"/>
          <w:i w:val="0"/>
          <w:color w:val="202833"/>
          <w:sz w:val="22"/>
        </w:rPr>
        <w:t>第二是用工形态的三分法：平台或合作企业形成支配性劳动管理的，按劳动关系签订劳动合同；有劳动管理但不符合确立劳动关系情形的，签订书面用工协议，多方共同管理的订立三方协议；个人依托平台自主开展经营活动、从事自由职业的，不适用本办法。</w:t>
      </w:r>
    </w:p>
    <w:p>
      <w:pPr>
        <w:spacing w:after="140" w:before="0" w:line="312" w:lineRule="auto"/>
        <w:ind w:left="113"/>
      </w:pPr>
      <w:r>
        <w:rPr>
          <w:rFonts w:ascii="微软雅黑" w:hAnsi="微软雅黑" w:eastAsia="微软雅黑"/>
          <w:b w:val="0"/>
          <w:i w:val="0"/>
          <w:color w:val="202833"/>
          <w:sz w:val="22"/>
        </w:rPr>
        <w:t>第三是责任穿透：平台企业对合作企业承担选任与监督义务，合作企业不具备合法经营资质的，平台承担用工主体责任；明确禁止诱导劳动者注册个体工商户、禁止通过多层转包规避用工责任。中国社会科学院法学研究所研究员王天玉认为，这理顺了平台与合作企业之间的权利义务关系，确立了劳动保障义务的书面依据和主体归属。</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平台侧响应：美团把「协商」做成年度机制，1900万骑手、36亿元职业伤害保障费</w:t>
      </w:r>
    </w:p>
    <w:p>
      <w:pPr>
        <w:spacing w:after="140" w:before="0" w:line="312" w:lineRule="auto"/>
        <w:ind w:left="113"/>
      </w:pPr>
      <w:r>
        <w:rPr>
          <w:rFonts w:ascii="微软雅黑" w:hAnsi="微软雅黑" w:eastAsia="微软雅黑"/>
          <w:b w:val="0"/>
          <w:i w:val="0"/>
          <w:color w:val="202833"/>
          <w:sz w:val="22"/>
        </w:rPr>
        <w:t>9月29日召开的2026年度美团劳动规则和算法协商恳谈会，本周经《中国劳动保障报》详细披露。会议按《平台劳动规则和算法协商指引（试行）》要求召开，美团今年首次组建全平台协商「代表库」和「议题库」；现场9名代表由骑手民主推荐产生，另有20名北京骑手及全国23个云会场100余名骑手代表参会，覆盖31个省区市。会前全国各层级恳谈会50余场，收集意见诉求近1万条，汇总形成120条议题，半数以上已改进落实，38条重点议题提交会议协商。</w:t>
      </w:r>
    </w:p>
    <w:p>
      <w:pPr>
        <w:spacing w:after="140" w:before="0" w:line="312" w:lineRule="auto"/>
        <w:ind w:left="113"/>
      </w:pPr>
      <w:r>
        <w:rPr>
          <w:rFonts w:ascii="微软雅黑" w:hAnsi="微软雅黑" w:eastAsia="微软雅黑"/>
          <w:b w:val="0"/>
          <w:i w:val="0"/>
          <w:color w:val="202833"/>
          <w:sz w:val="22"/>
        </w:rPr>
        <w:t>签署的《2026年度美团劳动规则和算法协商协议》包含几项可量化的承诺：提高超重、体积大、步行上下楼等较难配送订单的计费权重；增加特殊天气下的收入报酬；继续执行「取消超时扣款」；逐步扩大「红灯停表」试点（已在苏州、无锡、镇江及北京部分城区上线，另有30余个城市评估中）；推动养老保险补贴落地，符合条件的骑手可获得缴费基数50%的补贴。</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业伤害保障的数据值得记录：我国自2022年7月起开展新就业形态人员职业伤害保障试点，2025年7月由7个省份扩至17个，2026年7月1日起在全国31个省份和新疆生产建设兵团全面推开。截至2026年8月底，美团已累计为约1900万骑手缴纳职业伤害保障费36亿元，实现「每单必保、每人必保」。这说明「按单投保」在技术和成本上都已跑通，接下来会成为全行业的默认配置。</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县域样本：嘉善的零工市场，把「即时签约、即时投保、即时支付」做成了闭环</w:t>
      </w:r>
    </w:p>
    <w:p>
      <w:pPr>
        <w:spacing w:after="140" w:before="0" w:line="312" w:lineRule="auto"/>
        <w:ind w:left="113"/>
      </w:pPr>
      <w:r>
        <w:rPr>
          <w:rFonts w:ascii="微软雅黑" w:hAnsi="微软雅黑" w:eastAsia="微软雅黑"/>
          <w:b w:val="0"/>
          <w:i w:val="0"/>
          <w:color w:val="202833"/>
          <w:sz w:val="22"/>
        </w:rPr>
        <w:t>《中国劳动保障报》10月21日报道的浙江嘉善案例，提供了一套可复制的县域方案。全县建成县镇村三级零工服务站点20个，构建「1＋1＋9＋X」体系（1个线上平台、1个县级零工市场、9个镇街分市场、X个村社服务点）；线上平台注册企业2400余家、灵活就业人员6.7万人，累计促成就业10.9万人次，发放零工报酬超7200万元，平台活跃灵活就业人员年人均增收达5000元。</w:t>
      </w:r>
    </w:p>
    <w:p>
      <w:pPr>
        <w:spacing w:after="140" w:before="0" w:line="312" w:lineRule="auto"/>
        <w:ind w:left="113"/>
      </w:pPr>
      <w:r>
        <w:rPr>
          <w:rFonts w:ascii="微软雅黑" w:hAnsi="微软雅黑" w:eastAsia="微软雅黑"/>
          <w:b w:val="0"/>
          <w:i w:val="0"/>
          <w:color w:val="202833"/>
          <w:sz w:val="22"/>
        </w:rPr>
        <w:t>三项机制特别具体：一是电子劳务协议主动推送、线上签约备案，纠纷处置有据可依；二是引入商业保险，「按日线上投保、保单即时生效」，企业每天仅花几角到1元多保费，即获最高100万元雇主责任险，累计投保超5万人次；三是打通微信「微工卡」，用工方预付薪资至监管账户，任务完成即时结算，实现「当日打卡、当日到账」。</w:t>
      </w:r>
    </w:p>
    <w:p>
      <w:pPr>
        <w:spacing w:after="140" w:before="0" w:line="312" w:lineRule="auto"/>
        <w:ind w:left="113"/>
      </w:pPr>
      <w:r>
        <w:rPr>
          <w:rFonts w:ascii="微软雅黑" w:hAnsi="微软雅黑" w:eastAsia="微软雅黑"/>
          <w:b w:val="0"/>
          <w:i w:val="0"/>
          <w:color w:val="202833"/>
          <w:sz w:val="22"/>
        </w:rPr>
        <w:t>面向低龄老人，平台推出银发再就业匹配，实名注册60岁以上自由职业者1.2万人，累计完成3.3万余次用工对接、带动劳务增收超2800万元。这条线值得关注：在劳动力总量走平的背景下，银发与乡村两个「沉睡劳动力池」正在被零工平台激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基层供给端：禄丰、太仓、白银，三种不同的「就近就业」打法</w:t>
      </w:r>
    </w:p>
    <w:p>
      <w:pPr>
        <w:spacing w:after="140" w:before="0" w:line="312" w:lineRule="auto"/>
        <w:ind w:left="113"/>
      </w:pPr>
      <w:r>
        <w:rPr>
          <w:rFonts w:ascii="微软雅黑" w:hAnsi="微软雅黑" w:eastAsia="微软雅黑"/>
          <w:b w:val="0"/>
          <w:i w:val="0"/>
          <w:color w:val="202833"/>
          <w:sz w:val="22"/>
        </w:rPr>
        <w:t>云南禄丰依托零工市场引进专业机构运营，进驻招公民营企业30余家、个体工商临时用工登记500余次，今年举办电工、咖啡师、中式面点、养老护理等培训班13个班次，为蓝莓基地、楚雄隆基等企业输送390人，联合14个乡镇举办招聘25场、参与求职11539人。甘肃白银则以「人才夜市」破题，已办各类招聘102场、2871家次企业参会、提供岗位6.1万个、达成意向9847人，今年城镇新增就业2.25万人、输转农村富余劳动力27.25万人、实现劳务收入71.51亿元。两地的共同点是把就业服务从「窗口」搬到「门口」，用场景化（夜市、工坊）替代传统的公告栏模式。</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二级市场：全球HR科技TOP10单月缩水331亿美元，中国TOP10约721.97亿元</w:t>
      </w:r>
    </w:p>
    <w:p>
      <w:pPr>
        <w:spacing w:after="140" w:before="0" w:line="312" w:lineRule="auto"/>
        <w:ind w:left="113"/>
      </w:pPr>
      <w:r>
        <w:rPr>
          <w:rFonts w:ascii="微软雅黑" w:hAnsi="微软雅黑" w:eastAsia="微软雅黑"/>
          <w:b w:val="0"/>
          <w:i w:val="0"/>
          <w:color w:val="202833"/>
          <w:sz w:val="22"/>
        </w:rPr>
        <w:t>HRTechChina 10月13日、14日连续发布的全球HR科技观察显示：2026年10月，全球HR上市公司市值TOP10合计约3783亿美元，较上期下降8.0%，缩水约331亿美元；中国HR上市公司TOP10合计约721.97亿元人民币。市场对「有AI功能」已经不再给予估值溢价，转而要求AI带来可验证的收入与利润率。</w:t>
      </w:r>
    </w:p>
    <w:p>
      <w:pPr>
        <w:spacing w:after="140" w:before="0" w:line="312" w:lineRule="auto"/>
        <w:ind w:left="113"/>
      </w:pPr>
      <w:r>
        <w:rPr>
          <w:rFonts w:ascii="微软雅黑" w:hAnsi="微软雅黑" w:eastAsia="微软雅黑"/>
          <w:b w:val="0"/>
          <w:i w:val="0"/>
          <w:color w:val="202833"/>
          <w:sz w:val="22"/>
        </w:rPr>
        <w:t>与此同时，AI商业化确实在加速。中国市场已出现可观察的样本：云学堂披露AI相关产品月度经常性收入（MRR）达440万元，较上年同期显著增长；猎聘AI产品综合现金回款实现接近100%的增长；北森通过Mavens及AI HR专家，探索从传统HR SaaS向智能化业务服务延伸。这三个数字的意义在于，它们第一次把「AI收入」从PPT里拆出来单独计量。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一级市场：一周披露5笔融资，合规科技与一线员工运营成新方向</w:t>
      </w:r>
    </w:p>
    <w:p>
      <w:pPr>
        <w:spacing w:after="140" w:before="0" w:line="312" w:lineRule="auto"/>
        <w:ind w:left="113"/>
      </w:pPr>
      <w:r>
        <w:rPr>
          <w:rFonts w:ascii="微软雅黑" w:hAnsi="微软雅黑" w:eastAsia="微软雅黑"/>
          <w:b w:val="0"/>
          <w:i w:val="0"/>
          <w:color w:val="202833"/>
          <w:sz w:val="22"/>
        </w:rPr>
        <w:t>本周HRTechChina披露的融资事件分布很有指向性：美国一线员工运营AI平台Firstwork完成1500万美元A轮，由Earlybird Venture Capital领投，Legion VC、Deel Ventures及现有投资者Gradient、Y Combinator跟投，累计融资达2000万美元；AI驱动家庭照护平台Rosie在两轮超额认购中筹得700万美元，由Bling Capital和Reach Capital领投；英国监管科技平台CoComply完成190万英镑融资，由NPIF–Mercia Equity Finance领投，用于开发外部劳动力合规平台；代理式学习平台LearnUpon与Claret Capital Partners合作获得5000万美元增长融资；一线应急人员绩效辅导平台Sharp Performance完成1800万美元A轮，Hidden Variable领投，a16z、Commonweal Ventures、FJ Labs及福特基金会跟投。</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条线索：一是「一线员工（frontline）运营」正在成为独立赛道，Firstwork、Sharp Performance、此前融资的Humand都属于这一类，服务对象是不坐办公室的快递、零售、护理、应急人员；二是「合规科技」进入人力资源视野，CoComply专门解决外部劳动力的隐性合规风险，与本征求意见稿的监管方向高度吻合；三是「照护经济」，Rosie把托儿与家政做成会员制、AI调度，本质是灵活用工在家庭场景的标准化。</w:t>
      </w:r>
    </w:p>
    <w:p>
      <w:pPr>
        <w:spacing w:after="140" w:before="0" w:line="312" w:lineRule="auto"/>
        <w:ind w:left="113"/>
      </w:pPr>
      <w:r>
        <w:rPr>
          <w:rFonts w:ascii="微软雅黑" w:hAnsi="微软雅黑" w:eastAsia="微软雅黑"/>
          <w:b w:val="0"/>
          <w:i w:val="0"/>
          <w:color w:val="202833"/>
          <w:sz w:val="22"/>
        </w:rPr>
        <w:t>本月更早的融资还呈现明显的头部集中：Angle Health融资6亿美元、HiBob融资1.66亿美元、Thatch融资1.08亿美元，三家公司合计8.74亿美元，占当月已列示融资TOP10金额的约84.9%；员工健康福利科技（Angle Health、Thatch、Nara Health）合计达7.22亿美元，反映资本正在向医疗福利管理、个性化健康预算与员工服务体验集中。</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并购：Workday买C1.ai、SAP买TechWolf，HR系统正在变成「AI治理入口」</w:t>
      </w:r>
    </w:p>
    <w:p>
      <w:pPr>
        <w:spacing w:after="140" w:before="0" w:line="312" w:lineRule="auto"/>
        <w:ind w:left="113"/>
      </w:pPr>
      <w:r>
        <w:rPr>
          <w:rFonts w:ascii="微软雅黑" w:hAnsi="微软雅黑" w:eastAsia="微软雅黑"/>
          <w:b w:val="0"/>
          <w:i w:val="0"/>
          <w:color w:val="202833"/>
          <w:sz w:val="22"/>
        </w:rPr>
        <w:t>Workday宣布收购AI身份治理平台C1.ai，逻辑是从员工管理延伸到AI Agent权限治理——当企业里有大量AI代理在代替人执行任务，谁有权批准、谁负责审计就成了HR系统的新职责。SAP则于10月6日宣布收购比利时AI公司TechWolf，把后者的Work Intelligence技术、专有数据模型及AI研发能力纳入SAP产品体系，交易预计2026年第四季度完成。两笔交易的共同点是：买方要的不是「功能」，而是「数据与权限的控制点」。这对国内HR SaaS厂商是一个清晰提示——AI时代最值钱的资产是组织与权限的数据底座。</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区域与产业资本：地方三年行动方案在托底行业供给</w:t>
      </w:r>
    </w:p>
    <w:p>
      <w:pPr>
        <w:spacing w:after="140" w:before="0" w:line="312" w:lineRule="auto"/>
        <w:ind w:left="113"/>
      </w:pPr>
      <w:r>
        <w:rPr>
          <w:rFonts w:ascii="微软雅黑" w:hAnsi="微软雅黑" w:eastAsia="微软雅黑"/>
          <w:b w:val="0"/>
          <w:i w:val="0"/>
          <w:color w:val="202833"/>
          <w:sz w:val="22"/>
        </w:rPr>
        <w:t>区域层面，湖北《加快推进人力资源服务业扩能提质三年行动方案》、重庆《推动人工智能赋能人力资源服务业高质量发展若干措施》等政策仍在持续释放。这类政策的价值不在补贴额度，而在于把人服机构纳入地方产业基金、产业园与公共项目的采购范围，为中小机构提供稳定的现金流来源。本周金华披露的数据提供了一个参照：全市人服机构突破840家、行业年营收超120亿元，2025年服务用人单位超40万家次、助力就业与人才流动超250万人次，并组建「一链一库一团」服务联盟，为5000家制造业企业生成供需热力图、绘制10条重点产业链紧缺人才目录。</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事件一：为什么「人力资源服务业增速12.3%」比「失业率5.2%」更值得HR关注</w:t>
      </w:r>
    </w:p>
    <w:p>
      <w:pPr>
        <w:spacing w:after="140" w:before="0" w:line="312" w:lineRule="auto"/>
        <w:ind w:left="113"/>
      </w:pPr>
      <w:r>
        <w:rPr>
          <w:rFonts w:ascii="微软雅黑" w:hAnsi="微软雅黑" w:eastAsia="微软雅黑"/>
          <w:b w:val="0"/>
          <w:i w:val="0"/>
          <w:color w:val="202833"/>
          <w:sz w:val="22"/>
        </w:rPr>
        <w:t>把两个数字放在一起看，会得到一个反直觉的结论：在整体就业大盘几乎不增长（外出务工+0.4%）的同时，人力资源服务业自身增速达到12.3%。这说明行业正在经历一次「价值重新分配」——企业不再扩编，但把越来越多的人力职能外包出去：招聘流程外包、薪酬社保代缴、灵活用工结算、合规审查、跨境配置。外包渗透率提升带来的增长，抵消了人头总量停滞带来的下滑。对从业机构的战略含义很明确：增量在「替客户承担风险与复杂度」的服务里，不在「替客户招更多人」的服务里。谁能在合规、跨境、结算三个高复杂度环节形成产品，谁就能吃到这12.3%。</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事件二：「央国企内推」骗局被五部门定性，招聘平台的审核责任被实质抬高</w:t>
      </w:r>
    </w:p>
    <w:p>
      <w:pPr>
        <w:spacing w:after="140" w:before="0" w:line="312" w:lineRule="auto"/>
        <w:ind w:left="113"/>
      </w:pPr>
      <w:r>
        <w:rPr>
          <w:rFonts w:ascii="微软雅黑" w:hAnsi="微软雅黑" w:eastAsia="微软雅黑"/>
          <w:b w:val="0"/>
          <w:i w:val="0"/>
          <w:color w:val="202833"/>
          <w:sz w:val="22"/>
        </w:rPr>
        <w:t>这次风险提示的独特之处在于，它把一整条黑产链路完整拆解并公开：第一步冒用央国企名义编造虚假招聘引流，话术包括「急招数万人」「不限专业、基本报名就能进」「年薪××万、有正式编制」；第二步虚构内部推荐渠道，谎称「普通网投简历无法通过筛选，只有付费内推才能直通面试官」，甚至伪造聊天记录、劳动合同、就业协议；第三步以「内推服务费」「面试打点费」「入职保证金」等名义收费，收款后以「政策变化」「领导调整」拖延，直至失联。特征也很清晰：主要对象是应届毕业生及家长、公域引流私域转化、利用信息差、金额数千至数十万元并常伴随连环加价。</w:t>
      </w:r>
    </w:p>
    <w:p>
      <w:pPr>
        <w:spacing w:after="140" w:before="0" w:line="312" w:lineRule="auto"/>
        <w:ind w:left="113"/>
      </w:pPr>
      <w:r>
        <w:rPr>
          <w:rFonts w:ascii="微软雅黑" w:hAnsi="微软雅黑" w:eastAsia="微软雅黑"/>
          <w:b w:val="0"/>
          <w:i w:val="0"/>
          <w:color w:val="202833"/>
          <w:sz w:val="22"/>
        </w:rPr>
        <w:t>对行业的实质影响有三层。第一层是平台侧：付费内推类广告、保录类内容将从「灰色」变成「明确违规」，投放审核与账号资质核验必须前置，否则平台可能承担连带声誉与监管风险。第二层是机构侧：正规职业中介的价值被重新确认——「不收费」将成为最强的信任背书，而有资质、可查询（全国人社政务服务平台、电子社保卡、掌上12333）的机构会获得溢价。第三层是求职者侧：官方给出了权威渠道清单（就业在线、国家大学生就业服务平台、国资央企招聘平台、中国公共招聘网），这意味着信息入口正在被官方重新收拢。</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事件三：算法协商从「个案」变成「年度机制」，灵活用工的治理范式已经切换</w:t>
      </w:r>
    </w:p>
    <w:p>
      <w:pPr>
        <w:spacing w:after="140" w:before="0" w:line="312" w:lineRule="auto"/>
        <w:ind w:left="113"/>
      </w:pPr>
      <w:r>
        <w:rPr>
          <w:rFonts w:ascii="微软雅黑" w:hAnsi="微软雅黑" w:eastAsia="微软雅黑"/>
          <w:b w:val="0"/>
          <w:i w:val="0"/>
          <w:color w:val="202833"/>
          <w:sz w:val="22"/>
        </w:rPr>
        <w:t>美团这场协商会的程序细节，比协议条款更值得研究：代表库由骑手民主推荐、议题库来自全国50余场恳谈会和近1万条诉求、120条议题中半数以上已改进落实、38条提交协商、最终签署年度协议并接受四方（中央社会工作部、中央网信办、市场监管总局、北京市总工会）指导。这套流程把过去「平台单方定规则—骑手被动接受—出问题后舆论爆发」的循环，改成了「常态化收集—协商—签署—跟进落实」的闭环。</w:t>
      </w:r>
    </w:p>
    <w:p>
      <w:pPr>
        <w:spacing w:after="140" w:before="0" w:line="312" w:lineRule="auto"/>
        <w:ind w:left="113"/>
      </w:pPr>
      <w:r>
        <w:rPr>
          <w:rFonts w:ascii="微软雅黑" w:hAnsi="微软雅黑" w:eastAsia="微软雅黑"/>
          <w:b w:val="0"/>
          <w:i w:val="0"/>
          <w:color w:val="202833"/>
          <w:sz w:val="22"/>
        </w:rPr>
        <w:t>与征求意见稿的「算法取中」「人工干预义务」「工会监督与政府算法审查」形成呼应：制度给了框架，平台给出了执行样本。对用工企业和服务商的启示是，算法不再是技术部门的内部事务，而是需要留痕、可解释、可协商的合规文件。特别是「取消超时扣款」「红灯停表」这类具体机制，未来很可能从头部平台的竞争性举措，变成全行业的基线要求。</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趋势一：行业增长从「人头规模」切换到「服务层级」</w:t>
      </w:r>
    </w:p>
    <w:p>
      <w:pPr>
        <w:spacing w:after="140" w:before="0" w:line="312" w:lineRule="auto"/>
        <w:ind w:left="113"/>
      </w:pPr>
      <w:r>
        <w:rPr>
          <w:rFonts w:ascii="微软雅黑" w:hAnsi="微软雅黑" w:eastAsia="微软雅黑"/>
          <w:b w:val="0"/>
          <w:i w:val="0"/>
          <w:color w:val="202833"/>
          <w:sz w:val="22"/>
        </w:rPr>
        <w:t>12.3%的行业增速与0.4%的劳动力增量之间的差距，就是「服务层级提升」的空间。具体表现为四条上移路径：从派遣到外包、从招聘到雇主品牌与人才地图、从社保代缴到全面薪酬合规、从境内配置到跨境配置。判断一家机构的竞争力，未来不看它有多少派遣员工，而看它的合同里有多少比例是「按结果/按项目」计费，而不是「按人头差价」计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趋势二：合规能力正在从成本项变成准入项</w:t>
      </w:r>
    </w:p>
    <w:p>
      <w:pPr>
        <w:spacing w:after="140" w:before="0" w:line="312" w:lineRule="auto"/>
        <w:ind w:left="113"/>
      </w:pPr>
      <w:r>
        <w:rPr>
          <w:rFonts w:ascii="微软雅黑" w:hAnsi="微软雅黑" w:eastAsia="微软雅黑"/>
          <w:b w:val="0"/>
          <w:i w:val="0"/>
          <w:color w:val="202833"/>
          <w:sz w:val="22"/>
        </w:rPr>
        <w:t>三条监管线在同一周收拢：五部门给虚假招聘定性、征求意见稿给算法用工定规、出境入境中介备案给跨境中介定资格。结果是行业出现一次明显分化——具备资质、系统与法务能力的中大型机构拿到更多企业客户与公共项目；依赖信息差与结构套利的中小机构被迫退出或降级为纯交付执行方。对投资机构而言，RegTech在人力资源赛道的权重会持续上升，本周英国CoComply的融资就是明确信号。</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趋势三：出海用工从「派人」升级为「建组织」</w:t>
      </w:r>
    </w:p>
    <w:p>
      <w:pPr>
        <w:spacing w:after="140" w:before="0" w:line="312" w:lineRule="auto"/>
        <w:ind w:left="113"/>
      </w:pPr>
      <w:r>
        <w:rPr>
          <w:rFonts w:ascii="微软雅黑" w:hAnsi="微软雅黑" w:eastAsia="微软雅黑"/>
          <w:b w:val="0"/>
          <w:i w:val="0"/>
          <w:color w:val="202833"/>
          <w:sz w:val="22"/>
        </w:rPr>
        <w:t>商务部数据里，承包工程项下派出9.2万人、营业额同比+5.8%而新签合同额-3.0%，说明存量项目进入施工高峰；同时非金融类直接投资下降14.4%，资本出海在收缩。这意味着人跟着项目走的需求短期确定，但中长期要靠「属地化建队」承接。青岛的80项服务清单与20国合规指南，正是这个升级的标准化雏形。未来两年，「多国雇佣合规＋跨境薪酬＋签证配额＋跨文化培训」是人力资源赛道最值得关注的创业方向之一。</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趋势四：AI竞争的分水岭是「能不能单独报价」</w:t>
      </w:r>
    </w:p>
    <w:p>
      <w:pPr>
        <w:spacing w:after="140" w:before="0" w:line="312" w:lineRule="auto"/>
        <w:ind w:left="113"/>
      </w:pPr>
      <w:r>
        <w:rPr>
          <w:rFonts w:ascii="微软雅黑" w:hAnsi="微软雅黑" w:eastAsia="微软雅黑"/>
          <w:b w:val="0"/>
          <w:i w:val="0"/>
          <w:color w:val="202833"/>
          <w:sz w:val="22"/>
        </w:rPr>
        <w:t>全球TOP10市值单月缩水331亿美元，一级市场却在加速融资——市场不为「有AI」付费，只为「AI带来的收入与利润率」付费。国内已验证的样本是云学堂AI MRR 440万元、猎聘AI回款近100%增长。接下来的三个观察指标：AI产品能否独立报价、能否被客户续费、能否降低交付人力成本。三者同时成立的公司，才配得上AI估值；只成立其一的，最终会被归回SaaS或外包的估值体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风险提示一：AI招聘的算法歧视与数据合规风险正在司法化</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Workday AI招聘歧视案已释放明确信号：供应商责任正在被重新定义。在国内《个人信息保护法》《就业促进法》框架下，简历收集范围、算法决策可解释性、训练数据偏见都可能成为劳动争议与行政投诉的触发点。征求意见稿进一步要求自动化决策保留人工干预，建议企业在采购AI招聘工具时，明确要求供应商提供算法说明、数据来源合规证明与人工复核机制，并在合同中约定算法变更的通知义务。</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风险提示二：灵活用工「结构套利」窗口正在关闭</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征求意见稿明确禁止诱导劳动者注册个体工商户、禁止多层转包规避用工责任，并要求平台对合作企业资质承担选任监督义务；叠加灵活就业社保「挂靠代缴」已被明确为违法，过去靠「改变用工身份」降本的方案基本失效。建议企业尽快完成存量结构排查，重点看三类高频风险点：个体户承包、异地参保、多层分包。排查顺序建议从「人数最多的合同」开始，而不是从「金额最大的合同」开始。</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风险提示三：跨境劳务的诈骗与安全风险双向上升</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境内有「付费内推」「直签保录」骗局，境外有非法务工被查获、签证吊销遣返的风险。对劳务输出机构，资质、备案与签证路径合法性是底线；对求职者，凡要求提前付费、承诺「包过包录」的中介都应直接排除，并保留聊天记录、协议文本与转账凭证。企业外派员工时，应同步核查目的国的最新入境与工作许可政策，避免因政策变动导致项目停摆。</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风险提示四：把「政策红利」误读为「需求回暖」</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本周多地密集举办招聘会（吕梁单场365家企业、1.1万个岗位、现场1.5万人次；白银累计102场、6.1万个岗位），但这是公共就业服务的组织密度提升，不等于市场化招聘需求扩张。统计局数据已经给出边界：外出务工+0.4%、周均工时48.3小时。机构在制定四季度预算时，应按「存量博弈」而非「增量扩张」假设做规划，把资源投在续费率与交付效率上，而不是新客获取的规模上。</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把本周三组数字放在一起看：行业增速12.3%、劳动力增量0.4%、TOP10市值-8.0%。服务业在扩张，供给在停滞，资本在收缩——这不是矛盾，而是同一次结构转换的三个侧面。活下来的机构，一定是把「合规」做成了产品、把「出海」做成了体系、把「AI」做成了可报价收入的那一批。</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生成时间：2026-10-23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