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before="0" w:line="312" w:lineRule="auto"/>
        <w:jc w:val="center"/>
      </w:pPr>
      <w:r>
        <w:rPr>
          <w:rFonts w:ascii="微软雅黑" w:hAnsi="微软雅黑" w:eastAsia="微软雅黑"/>
          <w:b/>
          <w:i w:val="0"/>
          <w:color w:val="0F2452"/>
          <w:sz w:val="48"/>
        </w:rPr>
        <w:t>人力资源行业新闻周报</w:t>
      </w:r>
    </w:p>
    <w:p>
      <w:pPr>
        <w:spacing w:after="40" w:before="0" w:line="312" w:lineRule="auto"/>
        <w:jc w:val="center"/>
      </w:pPr>
      <w:r>
        <w:rPr>
          <w:rFonts w:ascii="微软雅黑" w:hAnsi="微软雅黑" w:eastAsia="微软雅黑"/>
          <w:b/>
          <w:i w:val="0"/>
          <w:color w:val="1E4E9C"/>
          <w:sz w:val="22"/>
        </w:rPr>
        <w:t>Weekly HR Industry News Report ｜ 2026.10.17 — 10.24</w:t>
      </w:r>
    </w:p>
    <w:p>
      <w:pPr>
        <w:spacing w:after="200" w:before="0" w:line="312" w:lineRule="auto"/>
        <w:jc w:val="center"/>
      </w:pPr>
      <w:r>
        <w:rPr>
          <w:rFonts w:ascii="微软雅黑" w:hAnsi="微软雅黑" w:eastAsia="微软雅黑"/>
          <w:b w:val="0"/>
          <w:i w:val="0"/>
          <w:color w:val="5C6B7A"/>
          <w:sz w:val="21"/>
        </w:rPr>
        <w:t>报告周期：2026年10月17日 — 10月24日（滚动一周）</w:t>
      </w:r>
    </w:p>
    <w:p>
      <w:pPr>
        <w:spacing w:after="160" w:line="336" w:lineRule="auto"/>
        <w:shd w:val="clear" w:fill="FFF4E6"/>
      </w:pPr>
      <w:r>
        <w:rPr>
          <w:rFonts w:ascii="微软雅黑" w:hAnsi="微软雅黑" w:eastAsia="微软雅黑"/>
          <w:b/>
          <w:i w:val="0"/>
          <w:color w:val="F57C00"/>
          <w:sz w:val="21"/>
        </w:rPr>
        <w:t>本周核心动向：</w:t>
      </w:r>
      <w:r>
        <w:rPr>
          <w:rFonts w:ascii="微软雅黑" w:hAnsi="微软雅黑" w:eastAsia="微软雅黑"/>
          <w:b w:val="0"/>
          <w:i w:val="0"/>
          <w:color w:val="141A26"/>
          <w:sz w:val="21"/>
        </w:rPr>
        <w:t>本周唯一需要记住的事：国务院办公厅印发国办发〔2026〕29号《关于适应人工智能技术发展助力构建就业友好型发展方式的意见》，6个方面18项任务，10月16日成文、10月23日公开。这是国家层面第一份把「AI 对就业的影响」当成一个需要系统治理的对象、而不是当成一句口号来处理的文件——它同时写了「创造」（新职业、新空间）和「替代」（失业缓冲期、就业风险评估）两件事。配套的两条线是：平台劳动者的保障从「算法」走向「社保」（7家平台签医保倡议、职业伤害保障试点累计参保3727万人、武汉灵活就业公积金贷款倍数翻倍至20倍），以及对外劳务的制度底座正在重写（商务部明确推动修订对外承包工程、对外劳务合作两个条例）。一句话：政策开始给 AI 时代的就业装护栏，而护栏的成本，最终会落在企业的用工账本上。</w:t>
      </w:r>
    </w:p>
    <w:p>
      <w:pPr>
        <w:spacing w:after="80" w:before="120" w:line="312" w:lineRule="auto"/>
      </w:pPr>
      <w:r>
        <w:rPr>
          <w:rFonts w:ascii="微软雅黑" w:hAnsi="微软雅黑" w:eastAsia="微软雅黑"/>
          <w:b/>
          <w:i w:val="0"/>
          <w:color w:val="1E4E9C"/>
          <w:sz w:val="28"/>
        </w:rPr>
        <w:t>◆ 本期速览</w:t>
      </w:r>
    </w:p>
    <w:p>
      <w:pPr>
        <w:spacing w:after="60" w:line="312" w:lineRule="auto"/>
      </w:pPr>
      <w:r>
        <w:rPr>
          <w:rFonts w:ascii="微软雅黑" w:hAnsi="微软雅黑" w:eastAsia="微软雅黑"/>
          <w:b/>
          <w:i w:val="0"/>
          <w:color w:val="F57C00"/>
          <w:sz w:val="21"/>
        </w:rPr>
        <w:t xml:space="preserve">▪ </w:t>
      </w:r>
      <w:r>
        <w:rPr>
          <w:rFonts w:ascii="微软雅黑" w:hAnsi="微软雅黑" w:eastAsia="微软雅黑"/>
          <w:b w:val="0"/>
          <w:i w:val="0"/>
          <w:color w:val="202833"/>
          <w:sz w:val="21"/>
        </w:rPr>
        <w:t>国办发〔2026〕29号：6方面18项任务，首提「失业缓冲期制度」与「AI 应用就业风险评估机制」，2026年10月16日成文、23日公开</w:t>
      </w:r>
    </w:p>
    <w:p>
      <w:pPr>
        <w:spacing w:after="60" w:line="312" w:lineRule="auto"/>
      </w:pPr>
      <w:r>
        <w:rPr>
          <w:rFonts w:ascii="微软雅黑" w:hAnsi="微软雅黑" w:eastAsia="微软雅黑"/>
          <w:b/>
          <w:i w:val="0"/>
          <w:color w:val="F57C00"/>
          <w:sz w:val="21"/>
        </w:rPr>
        <w:t xml:space="preserve">▪ </w:t>
      </w:r>
      <w:r>
        <w:rPr>
          <w:rFonts w:ascii="微软雅黑" w:hAnsi="微软雅黑" w:eastAsia="微软雅黑"/>
          <w:b w:val="0"/>
          <w:i w:val="0"/>
          <w:color w:val="202833"/>
          <w:sz w:val="21"/>
        </w:rPr>
        <w:t>国家医保局10月22日发布联合倡议书，美团、淘宝闪购、顺丰同城、中通、曹操专车、T3出行、滴滴7家平台签署，推进新就业形态人员参加基本医保</w:t>
      </w:r>
    </w:p>
    <w:p>
      <w:pPr>
        <w:spacing w:after="60" w:line="312" w:lineRule="auto"/>
      </w:pPr>
      <w:r>
        <w:rPr>
          <w:rFonts w:ascii="微软雅黑" w:hAnsi="微软雅黑" w:eastAsia="微软雅黑"/>
          <w:b/>
          <w:i w:val="0"/>
          <w:color w:val="F57C00"/>
          <w:sz w:val="21"/>
        </w:rPr>
        <w:t xml:space="preserve">▪ </w:t>
      </w:r>
      <w:r>
        <w:rPr>
          <w:rFonts w:ascii="微软雅黑" w:hAnsi="微软雅黑" w:eastAsia="微软雅黑"/>
          <w:b w:val="0"/>
          <w:i w:val="0"/>
          <w:color w:val="202833"/>
          <w:sz w:val="21"/>
        </w:rPr>
        <w:t>职业伤害保障试点截至9月底累计参保3727万人、参保单数1087亿单；全国养老/失业/工伤参保10.79亿/2.51亿/3.27亿人，三项基金累计结余11.2万亿元</w:t>
      </w:r>
    </w:p>
    <w:p>
      <w:pPr>
        <w:spacing w:after="60" w:line="312" w:lineRule="auto"/>
      </w:pPr>
      <w:r>
        <w:rPr>
          <w:rFonts w:ascii="微软雅黑" w:hAnsi="微软雅黑" w:eastAsia="微软雅黑"/>
          <w:b/>
          <w:i w:val="0"/>
          <w:color w:val="F57C00"/>
          <w:sz w:val="21"/>
        </w:rPr>
        <w:t xml:space="preserve">▪ </w:t>
      </w:r>
      <w:r>
        <w:rPr>
          <w:rFonts w:ascii="微软雅黑" w:hAnsi="微软雅黑" w:eastAsia="微软雅黑"/>
          <w:b w:val="0"/>
          <w:i w:val="0"/>
          <w:color w:val="202833"/>
          <w:sz w:val="21"/>
        </w:rPr>
        <w:t>商务部10月22日国新办发布会：前9个月全行业对外直接投资1286.2亿美元；2025年境外企业销售收入3.8万亿美元；明确「推动修订对外承包工程和对外劳务合作两个条例」</w:t>
      </w:r>
    </w:p>
    <w:p>
      <w:pPr>
        <w:spacing w:after="60" w:line="312" w:lineRule="auto"/>
      </w:pPr>
      <w:r>
        <w:rPr>
          <w:rFonts w:ascii="微软雅黑" w:hAnsi="微软雅黑" w:eastAsia="微软雅黑"/>
          <w:b/>
          <w:i w:val="0"/>
          <w:color w:val="F57C00"/>
          <w:sz w:val="21"/>
        </w:rPr>
        <w:t xml:space="preserve">▪ </w:t>
      </w:r>
      <w:r>
        <w:rPr>
          <w:rFonts w:ascii="微软雅黑" w:hAnsi="微软雅黑" w:eastAsia="微软雅黑"/>
          <w:b w:val="0"/>
          <w:i w:val="0"/>
          <w:color w:val="202833"/>
          <w:sz w:val="21"/>
        </w:rPr>
        <w:t>智联招聘三季度快报：养老/看护职位数同比+43.9%登顶全行业；前程无忧Q3电商数据：客服与基础设计「量在价跌」，算法、跨境运营「量价齐升」</w:t>
      </w:r>
    </w:p>
    <w:p>
      <w:pPr>
        <w:spacing w:after="120" w:before="240" w:line="312" w:lineRule="auto"/>
        <w:shd w:val="clear" w:fill="EAF1FB"/>
      </w:pPr>
      <w:r>
        <w:rPr>
          <w:rFonts w:ascii="微软雅黑" w:hAnsi="微软雅黑" w:eastAsia="微软雅黑"/>
          <w:b/>
          <w:i w:val="0"/>
          <w:color w:val="1E4E9C"/>
          <w:sz w:val="30"/>
        </w:rPr>
        <w:t>◆ 行业要闻速览</w:t>
      </w:r>
    </w:p>
    <w:p>
      <w:pPr>
        <w:spacing w:after="60" w:line="312" w:lineRule="auto"/>
      </w:pPr>
      <w:r>
        <w:rPr>
          <w:rFonts w:ascii="微软雅黑" w:hAnsi="微软雅黑" w:eastAsia="微软雅黑"/>
          <w:b/>
          <w:i w:val="0"/>
          <w:color w:val="F57C00"/>
          <w:sz w:val="24"/>
        </w:rPr>
        <w:t>▍</w:t>
      </w:r>
      <w:r>
        <w:rPr>
          <w:rFonts w:ascii="微软雅黑" w:hAnsi="微软雅黑" w:eastAsia="微软雅黑"/>
          <w:b/>
          <w:i w:val="0"/>
          <w:color w:val="141A26"/>
          <w:sz w:val="24"/>
        </w:rPr>
        <w:t>1. 国办印发29号文：AI 与就业的关系，第一次被写成18项可执行任务</w:t>
      </w:r>
    </w:p>
    <w:p>
      <w:pPr>
        <w:spacing w:after="140" w:before="0" w:line="312" w:lineRule="auto"/>
        <w:ind w:left="113"/>
      </w:pPr>
      <w:r>
        <w:rPr>
          <w:rFonts w:ascii="微软雅黑" w:hAnsi="微软雅黑" w:eastAsia="微软雅黑"/>
          <w:b w:val="0"/>
          <w:i w:val="0"/>
          <w:color w:val="202833"/>
          <w:sz w:val="22"/>
        </w:rPr>
        <w:t>10月23日，新华社受权发布国务院办公厅《关于适应人工智能技术发展助力构建就业友好型发展方式的意见》（国办发〔2026〕29号）。文件成文日期为10月16日，10月22日由人社部转发，10月23日全文公开。全文分八个部分，其中第二至第七部分为6个方面18项主要任务，构成政策主体。</w:t>
      </w:r>
    </w:p>
    <w:p>
      <w:pPr>
        <w:spacing w:after="140" w:before="0" w:line="312" w:lineRule="auto"/>
        <w:ind w:left="113"/>
      </w:pPr>
      <w:r>
        <w:rPr>
          <w:rFonts w:ascii="微软雅黑" w:hAnsi="微软雅黑" w:eastAsia="微软雅黑"/>
          <w:b w:val="0"/>
          <w:i w:val="0"/>
          <w:color w:val="202833"/>
          <w:sz w:val="22"/>
        </w:rPr>
        <w:t>六方面的逻辑链条值得注意，它不是并列的，而是有先后：一是「强化人工智能的就业创造效应」（拓展新兴领域空间、培育中小微企业、创造创业新模式、加快开发新职业）；二是「构建就业友好型人工智能升级路径」（挖掘传统领域潜能、减缓替代影响、建立就业风险评估机制）；三是「提升劳动者数字素养和就业能力」；四是「推动人工智能赋能高品质就业政策服务」；五是「健全劳动者权益保障制度和社会保障制度」；六是「完善人工智能应用就业监测预警和风险应对体系」。创造—减震—赋能—服务—保障—监测，这是一套完整的就业冲击管理框架。</w:t>
      </w:r>
    </w:p>
    <w:p>
      <w:pPr>
        <w:spacing w:after="140" w:line="312" w:lineRule="auto"/>
        <w:shd w:val="clear" w:fill="FFF4E6"/>
      </w:pPr>
      <w:r>
        <w:rPr>
          <w:rFonts w:ascii="微软雅黑" w:hAnsi="微软雅黑" w:eastAsia="微软雅黑"/>
          <w:b/>
          <w:i w:val="0"/>
          <w:color w:val="F57C00"/>
          <w:sz w:val="22"/>
        </w:rPr>
        <w:t>【重点】</w:t>
      </w:r>
      <w:r>
        <w:rPr>
          <w:rFonts w:ascii="微软雅黑" w:hAnsi="微软雅黑" w:eastAsia="微软雅黑"/>
          <w:b w:val="0"/>
          <w:i w:val="0"/>
          <w:color w:val="202833"/>
          <w:sz w:val="22"/>
        </w:rPr>
        <w:t xml:space="preserve">  </w:t>
      </w:r>
      <w:r>
        <w:rPr>
          <w:rFonts w:ascii="微软雅黑" w:hAnsi="微软雅黑" w:eastAsia="微软雅黑"/>
          <w:b w:val="0"/>
          <w:i w:val="0"/>
          <w:color w:val="202833"/>
          <w:sz w:val="22"/>
        </w:rPr>
        <w:t>个提法在以往文件中没有出现过，需要人力资源从业者逐字读：第一，「鼓励企业探索建立失业缓冲期制度，在大规模推广应用人工智能过程中提前告知受影响劳动者、提供转型转岗就业支持」——这是把「AI 替代」的成本部分前置到企业侧；第二，「对市场准入领域可能造成较大就业冲击的人工智能应用场景项目，在评审时同步开展就业风险评估」——AI 项目审批将与就业影响挂钩；第三，「规范人工智能在人力资源管理领域应用，依法治理因滥用算法等造成的就业歧视、虚假招聘、侵犯隐私权休息权等违法违规行为」——HR SaaS、招聘平台、AI 面试产品的合规红线被正式写入国务院文件。</w:t>
      </w:r>
    </w:p>
    <w:p>
      <w:pPr>
        <w:spacing w:after="60" w:line="312" w:lineRule="auto"/>
      </w:pPr>
      <w:r>
        <w:rPr>
          <w:rFonts w:ascii="微软雅黑" w:hAnsi="微软雅黑" w:eastAsia="微软雅黑"/>
          <w:b/>
          <w:i w:val="0"/>
          <w:color w:val="F57C00"/>
          <w:sz w:val="24"/>
        </w:rPr>
        <w:t>▍</w:t>
      </w:r>
      <w:r>
        <w:rPr>
          <w:rFonts w:ascii="微软雅黑" w:hAnsi="微软雅黑" w:eastAsia="微软雅黑"/>
          <w:b/>
          <w:i w:val="0"/>
          <w:color w:val="141A26"/>
          <w:sz w:val="24"/>
        </w:rPr>
        <w:t>2. 五部门联合提示「央国企内推」骗局：付费内推被明确定性为诈骗</w:t>
      </w:r>
    </w:p>
    <w:p>
      <w:pPr>
        <w:spacing w:after="140" w:before="0" w:line="312" w:lineRule="auto"/>
        <w:ind w:left="113"/>
      </w:pPr>
      <w:r>
        <w:rPr>
          <w:rFonts w:ascii="微软雅黑" w:hAnsi="微软雅黑" w:eastAsia="微软雅黑"/>
          <w:b w:val="0"/>
          <w:i w:val="0"/>
          <w:color w:val="202833"/>
          <w:sz w:val="22"/>
        </w:rPr>
        <w:t>人社部、中央网信办、教育部、公安部、国务院国资委五部门联合发布风险提示，10月21日《人民日报》服务窗版全文刊发。提示披露的作案链条非常完整：先冒用央国企名义编造虚假招聘信息引流（「中国××集团急招数万人」「不限专业、基本报名就能进」「年薪××万、有正式编制」），再虚构「内部推荐渠道」骗取信任（自称掌握「少量内部名额」，编造聊天记录、成功案例，甚至伪造劳动合同与就业协议），最后以「内推服务费」「面试打点费」「定金」等名义收费，收款后以「政策变化」「领导调整」拖延，随即失联。</w:t>
      </w:r>
    </w:p>
    <w:p>
      <w:pPr>
        <w:spacing w:after="140" w:before="0" w:line="312" w:lineRule="auto"/>
        <w:ind w:left="113"/>
      </w:pPr>
      <w:r>
        <w:rPr>
          <w:rFonts w:ascii="微软雅黑" w:hAnsi="微软雅黑" w:eastAsia="微软雅黑"/>
          <w:b w:val="0"/>
          <w:i w:val="0"/>
          <w:color w:val="202833"/>
          <w:sz w:val="22"/>
        </w:rPr>
        <w:t>作案模式已升级为「公域引流、私域转化」：网站、小程序、APP 发布信息 → 分享经验/解读政策吸引流量 → 免费资料、模拟面试做诱饵 → 私信、弹幕、评论区引导至社交群组或一对一咨询 → 私域付费转化 → 得手即解散群组。主要目标人群是应届高校毕业生及其家长。</w:t>
      </w:r>
    </w:p>
    <w:p>
      <w:pPr>
        <w:spacing w:after="140" w:line="312" w:lineRule="auto"/>
        <w:shd w:val="clear" w:fill="FFF4E6"/>
      </w:pPr>
      <w:r>
        <w:rPr>
          <w:rFonts w:ascii="微软雅黑" w:hAnsi="微软雅黑" w:eastAsia="微软雅黑"/>
          <w:b/>
          <w:i w:val="0"/>
          <w:color w:val="F57C00"/>
          <w:sz w:val="22"/>
        </w:rPr>
        <w:t>【重点】</w:t>
      </w:r>
      <w:r>
        <w:rPr>
          <w:rFonts w:ascii="微软雅黑" w:hAnsi="微软雅黑" w:eastAsia="微软雅黑"/>
          <w:b w:val="0"/>
          <w:i w:val="0"/>
          <w:color w:val="202833"/>
          <w:sz w:val="22"/>
        </w:rPr>
        <w:t xml:space="preserve">  </w:t>
      </w:r>
      <w:r>
        <w:rPr>
          <w:rFonts w:ascii="微软雅黑" w:hAnsi="微软雅黑" w:eastAsia="微软雅黑"/>
          <w:b w:val="0"/>
          <w:i w:val="0"/>
          <w:color w:val="202833"/>
          <w:sz w:val="22"/>
        </w:rPr>
        <w:t>招聘平台的直接含义是：付费内推、直签保录这类「求职服务」的内容侧治理会被压实。文件明确要求求职者「通过全国人社政务服务平台、电子社保卡、掌上12333APP 等渠道查看人力资源服务机构信息」，等于把「机构资质可查」变成公共基础设施，不具备资质的中介与个人「职业规划师」将失去信息差红利。</w:t>
      </w:r>
    </w:p>
    <w:p>
      <w:pPr>
        <w:spacing w:after="60" w:line="312" w:lineRule="auto"/>
      </w:pPr>
      <w:r>
        <w:rPr>
          <w:rFonts w:ascii="微软雅黑" w:hAnsi="微软雅黑" w:eastAsia="微软雅黑"/>
          <w:b/>
          <w:i w:val="0"/>
          <w:color w:val="F57C00"/>
          <w:sz w:val="24"/>
        </w:rPr>
        <w:t>▍</w:t>
      </w:r>
      <w:r>
        <w:rPr>
          <w:rFonts w:ascii="微软雅黑" w:hAnsi="微软雅黑" w:eastAsia="微软雅黑"/>
          <w:b/>
          <w:i w:val="0"/>
          <w:color w:val="141A26"/>
          <w:sz w:val="24"/>
        </w:rPr>
        <w:t>3. 三季度就业数据的两组对照：服务业在扩张，劳动力增量在停滞</w:t>
      </w:r>
    </w:p>
    <w:p>
      <w:pPr>
        <w:spacing w:after="140" w:before="0" w:line="312" w:lineRule="auto"/>
        <w:ind w:left="113"/>
      </w:pPr>
      <w:r>
        <w:rPr>
          <w:rFonts w:ascii="微软雅黑" w:hAnsi="微软雅黑" w:eastAsia="微软雅黑"/>
          <w:b w:val="0"/>
          <w:i w:val="0"/>
          <w:color w:val="202833"/>
          <w:sz w:val="22"/>
        </w:rPr>
        <w:t>背景数据延续上周：前三季度 GDP 107.11万亿元、同比+4.6%，三季度单季+4.5%、环比+1.2%；城镇调查失业率均值5.2%，9月5.2%环比降0.1个百分点；三季度末外出务工农村劳动力19270万人，同比仅+0.4%。租赁和商务服务业增加值前三季度+12.3%、三季度单季+12.9%，继续跑在行业增速前列。</w:t>
      </w:r>
    </w:p>
    <w:p>
      <w:pPr>
        <w:spacing w:after="140" w:before="0" w:line="312" w:lineRule="auto"/>
        <w:ind w:left="113"/>
      </w:pPr>
      <w:r>
        <w:rPr>
          <w:rFonts w:ascii="微软雅黑" w:hAnsi="微软雅黑" w:eastAsia="微软雅黑"/>
          <w:b w:val="0"/>
          <w:i w:val="0"/>
          <w:color w:val="202833"/>
          <w:sz w:val="22"/>
        </w:rPr>
        <w:t>10月23日统计局补充发布的2025年中国创新指数为185.5（2015年=100），比上年增长6.4%。其中「全员劳动生产率指数」增长6.1%、「每万名就业人员中大专及以上学历人数指数」增长1.9%、「理工类毕业生占适龄人口比重指数」增长8.7%。三个数字放在一起看，指向同一个结论：单位劳动力产出在提升，而劳动力本身的「学历含量」提升速度远低于产出提升速度——效率的来源不是人变强了，是工具变强了。这恰好是国办29号文要处理的那个缺口。</w:t>
      </w:r>
    </w:p>
    <w:p>
      <w:pPr>
        <w:spacing w:after="200" w:line="312" w:lineRule="auto"/>
        <w:ind w:left="113"/>
        <w:shd w:val="clear" w:fill="EAF1FB"/>
      </w:pPr>
      <w:r>
        <w:rPr>
          <w:rFonts w:ascii="微软雅黑" w:hAnsi="微软雅黑" w:eastAsia="微软雅黑"/>
          <w:b/>
          <w:i w:val="0"/>
          <w:color w:val="F57C00"/>
          <w:sz w:val="22"/>
        </w:rPr>
        <w:t>判断：</w:t>
      </w:r>
      <w:r>
        <w:rPr>
          <w:rFonts w:ascii="微软雅黑" w:hAnsi="微软雅黑" w:eastAsia="微软雅黑"/>
          <w:b w:val="0"/>
          <w:i w:val="0"/>
          <w:color w:val="202833"/>
          <w:sz w:val="22"/>
        </w:rPr>
        <w:t>本周政策的主语从「稳就业」变成了「管 AI」。这不是修辞变化——当一份国务院文件开始要求 AI 项目做就业风险评估、要求企业设失业缓冲期，人力资源管理的成本结构里就多了一项以前不存在的科目：转型成本。</w:t>
      </w:r>
    </w:p>
    <w:p>
      <w:pPr>
        <w:spacing w:after="120" w:before="240" w:line="312" w:lineRule="auto"/>
        <w:shd w:val="clear" w:fill="EAF1FB"/>
      </w:pPr>
      <w:r>
        <w:rPr>
          <w:rFonts w:ascii="微软雅黑" w:hAnsi="微软雅黑" w:eastAsia="微软雅黑"/>
          <w:b/>
          <w:i w:val="0"/>
          <w:color w:val="1E4E9C"/>
          <w:sz w:val="30"/>
        </w:rPr>
        <w:t>◆ 在线招聘板块</w:t>
      </w:r>
    </w:p>
    <w:p>
      <w:pPr>
        <w:spacing w:after="60" w:line="312" w:lineRule="auto"/>
      </w:pPr>
      <w:r>
        <w:rPr>
          <w:rFonts w:ascii="微软雅黑" w:hAnsi="微软雅黑" w:eastAsia="微软雅黑"/>
          <w:b/>
          <w:i w:val="0"/>
          <w:color w:val="F57C00"/>
          <w:sz w:val="24"/>
        </w:rPr>
        <w:t>▍</w:t>
      </w:r>
      <w:r>
        <w:rPr>
          <w:rFonts w:ascii="微软雅黑" w:hAnsi="微软雅黑" w:eastAsia="微软雅黑"/>
          <w:b/>
          <w:i w:val="0"/>
          <w:color w:val="141A26"/>
          <w:sz w:val="24"/>
        </w:rPr>
        <w:t>智联招聘：三季度快报显示「养老/看护」以43.9%增速登顶，AI 工程师起薪1.8万</w:t>
      </w:r>
    </w:p>
    <w:p>
      <w:pPr>
        <w:spacing w:after="140" w:before="0" w:line="312" w:lineRule="auto"/>
        <w:ind w:left="113"/>
      </w:pPr>
      <w:r>
        <w:rPr>
          <w:rFonts w:ascii="微软雅黑" w:hAnsi="微软雅黑" w:eastAsia="微软雅黑"/>
          <w:b w:val="0"/>
          <w:i w:val="0"/>
          <w:color w:val="202833"/>
          <w:sz w:val="22"/>
        </w:rPr>
        <w:t>10月12日，智联招聘发布《2026年三季度人才市场热点快报》。核心结论有两条：其一，三季度招聘市场延续新质生产力引领的驱动格局，但出现了新亮点——养老/看护行业以43.9%的职位数同比增速登顶全行业，养老服务成为人才市场新的增长引擎；新材料、大数据、人工智能等新质生产力行业招聘保持较快增长，继续充当人才需求的稳定支撑。其二，2027届毕业生进入秋招季，应届生招聘与投递规模 TOP 行业中，软件/IT服务、互联网、集成电路位列供需前五；专用设备投递增速75%，数据、芯片、AI 等技术岗需求旺盛，AI 工程师起薪1.8万元。</w:t>
      </w:r>
    </w:p>
    <w:p>
      <w:pPr>
        <w:spacing w:after="140" w:line="312" w:lineRule="auto"/>
        <w:shd w:val="clear" w:fill="FFF4E6"/>
      </w:pPr>
      <w:r>
        <w:rPr>
          <w:rFonts w:ascii="微软雅黑" w:hAnsi="微软雅黑" w:eastAsia="微软雅黑"/>
          <w:b/>
          <w:i w:val="0"/>
          <w:color w:val="F57C00"/>
          <w:sz w:val="22"/>
        </w:rPr>
        <w:t>【重点】</w:t>
      </w:r>
      <w:r>
        <w:rPr>
          <w:rFonts w:ascii="微软雅黑" w:hAnsi="微软雅黑" w:eastAsia="微软雅黑"/>
          <w:b w:val="0"/>
          <w:i w:val="0"/>
          <w:color w:val="202833"/>
          <w:sz w:val="22"/>
        </w:rPr>
        <w:t xml:space="preserve">  </w:t>
      </w:r>
      <w:r>
        <w:rPr>
          <w:rFonts w:ascii="微软雅黑" w:hAnsi="微软雅黑" w:eastAsia="微软雅黑"/>
          <w:b w:val="0"/>
          <w:i w:val="0"/>
          <w:color w:val="202833"/>
          <w:sz w:val="22"/>
        </w:rPr>
        <w:t>3.9% 这个数字比「AI 岗位增长」更值得关注。它说明就业的增量正在从「高薪技术岗」向「低薪照护岗」扩散——养老/看护是典型的劳动密集、低自动化、强监管、弱议价的行业。对招聘平台而言，这意味着客户结构与客单价结构会同时变化：发布职位的企业数在增加，但单个职位的付费能力在下降。这也解释了为什么头部平台都在往「结果交付」而不是「流量撮合」上转。</w:t>
      </w:r>
    </w:p>
    <w:p>
      <w:pPr>
        <w:spacing w:after="60" w:line="312" w:lineRule="auto"/>
      </w:pPr>
      <w:r>
        <w:rPr>
          <w:rFonts w:ascii="微软雅黑" w:hAnsi="微软雅黑" w:eastAsia="微软雅黑"/>
          <w:b/>
          <w:i w:val="0"/>
          <w:color w:val="F57C00"/>
          <w:sz w:val="24"/>
        </w:rPr>
        <w:t>▍</w:t>
      </w:r>
      <w:r>
        <w:rPr>
          <w:rFonts w:ascii="微软雅黑" w:hAnsi="微软雅黑" w:eastAsia="微软雅黑"/>
          <w:b/>
          <w:i w:val="0"/>
          <w:color w:val="141A26"/>
          <w:sz w:val="24"/>
        </w:rPr>
        <w:t>前程无忧：Q3 电商招聘「量在价跌」与「量价齐升」同时发生</w:t>
      </w:r>
    </w:p>
    <w:p>
      <w:pPr>
        <w:spacing w:after="140" w:before="0" w:line="312" w:lineRule="auto"/>
        <w:ind w:left="113"/>
      </w:pPr>
      <w:r>
        <w:rPr>
          <w:rFonts w:ascii="微软雅黑" w:hAnsi="微软雅黑" w:eastAsia="微软雅黑"/>
          <w:b w:val="0"/>
          <w:i w:val="0"/>
          <w:color w:val="202833"/>
          <w:sz w:val="22"/>
        </w:rPr>
        <w:t>10月22日，前程无忧51job 发布2026年第三季度电商招聘数据。2026年三季度电商行业前十大热招职能为：电商运营、跨境电商运营、内容运营/直播运营、客服、数据分析、市场推广/流量投放、研发、算法工程师、供应链与履约、主播及直播间管理。</w:t>
      </w:r>
    </w:p>
    <w:p>
      <w:pPr>
        <w:spacing w:after="140" w:before="0" w:line="312" w:lineRule="auto"/>
        <w:ind w:left="113"/>
      </w:pPr>
      <w:r>
        <w:rPr>
          <w:rFonts w:ascii="微软雅黑" w:hAnsi="微软雅黑" w:eastAsia="微软雅黑"/>
          <w:b w:val="0"/>
          <w:i w:val="0"/>
          <w:color w:val="202833"/>
          <w:sz w:val="22"/>
        </w:rPr>
        <w:t>结构性分化非常清晰：客服、基础设计岗受智能客服与 AIGC 替代影响，呈现「量在价跌」——需求量大但薪酬增长乏力；算法、数据分析岗及跨境电商运营则「量价齐升」，其中跨境运营凭借出海红利进入热招职能前三，但门槛已从「会铺货」转向「跨境+数据+内容+AI 工具」的复合能力。高薪岗位向「算法技术、跨境管理、数据复合、AI 投放」四类职能集中。</w:t>
      </w:r>
    </w:p>
    <w:p>
      <w:pPr>
        <w:spacing w:after="140" w:before="0" w:line="312" w:lineRule="auto"/>
        <w:ind w:left="113"/>
      </w:pPr>
      <w:r>
        <w:rPr>
          <w:rFonts w:ascii="微软雅黑" w:hAnsi="微软雅黑" w:eastAsia="微软雅黑"/>
          <w:b w:val="0"/>
          <w:i w:val="0"/>
          <w:color w:val="202833"/>
          <w:sz w:val="22"/>
        </w:rPr>
        <w:t>同一份报告还系统披露了双十一期间的招聘黑产手法：岗位伪装（名称与描述高度模仿正规电商企业）、私域闭环（全程引导加外部群聊，脱离平台监管）、速战速决（一单一结、垫资返佣制造获利假象，败露即失联）。作案链路已从早期显性的「收费入职」转向「职位做流量入口、站外做转化」。平台侧的对策是「事前防控—事中干预—事后治理」全链路：企业准入端用营业执照智能鉴伪拦截伪造主体，风控端用 AI 识别低门槛职位与诱导话术。</w:t>
      </w:r>
    </w:p>
    <w:p>
      <w:pPr>
        <w:spacing w:after="60" w:line="312" w:lineRule="auto"/>
      </w:pPr>
      <w:r>
        <w:rPr>
          <w:rFonts w:ascii="微软雅黑" w:hAnsi="微软雅黑" w:eastAsia="微软雅黑"/>
          <w:b/>
          <w:i w:val="0"/>
          <w:color w:val="F57C00"/>
          <w:sz w:val="24"/>
        </w:rPr>
        <w:t>▍</w:t>
      </w:r>
      <w:r>
        <w:rPr>
          <w:rFonts w:ascii="微软雅黑" w:hAnsi="微软雅黑" w:eastAsia="微软雅黑"/>
          <w:b/>
          <w:i w:val="0"/>
          <w:color w:val="141A26"/>
          <w:sz w:val="24"/>
        </w:rPr>
        <w:t>BOSS直聘：董事变动与持续回购，治理层面的常规动作</w:t>
      </w:r>
    </w:p>
    <w:p>
      <w:pPr>
        <w:spacing w:after="140" w:before="0" w:line="312" w:lineRule="auto"/>
        <w:ind w:left="113"/>
      </w:pPr>
      <w:r>
        <w:rPr>
          <w:rFonts w:ascii="微软雅黑" w:hAnsi="微软雅黑" w:eastAsia="微软雅黑"/>
          <w:b w:val="0"/>
          <w:i w:val="0"/>
          <w:color w:val="202833"/>
          <w:sz w:val="22"/>
        </w:rPr>
        <w:t>10月23日，BOSS直聘-W（02076.HK）公告，余海洋因需要专注其他事务，辞去公司非执行董事职务，自2026年10月23日起生效。此前9月30日，公司回购27.19万股，每股价格区间7.32—7.40美元，总代价200万美元，回购股份拟注销。</w:t>
      </w:r>
    </w:p>
    <w:p>
      <w:pPr>
        <w:spacing w:after="140" w:before="0" w:line="312" w:lineRule="auto"/>
        <w:ind w:left="113"/>
      </w:pPr>
      <w:r>
        <w:rPr>
          <w:rFonts w:ascii="微软雅黑" w:hAnsi="微软雅黑" w:eastAsia="微软雅黑"/>
          <w:b w:val="0"/>
          <w:i w:val="0"/>
          <w:color w:val="202833"/>
          <w:sz w:val="22"/>
        </w:rPr>
        <w:t>结合此前披露的经营数据（Q2 营收23.99亿元、经营利润同比+32.6%，7000万月活），平台当前处在「利润修复+股东回报」的节奏上，而非「规模扩张」的节奏上。这与国办29号文中「规范 AI 在人力资源管理领域应用」的条款形成一个新的观察点：当算法治理成为合规成本，头部平台的投入能力反而是相对优势。</w:t>
      </w:r>
    </w:p>
    <w:p>
      <w:pPr>
        <w:spacing w:after="60" w:line="312" w:lineRule="auto"/>
      </w:pPr>
      <w:r>
        <w:rPr>
          <w:rFonts w:ascii="微软雅黑" w:hAnsi="微软雅黑" w:eastAsia="微软雅黑"/>
          <w:b/>
          <w:i w:val="0"/>
          <w:color w:val="F57C00"/>
          <w:sz w:val="24"/>
        </w:rPr>
        <w:t>▍</w:t>
      </w:r>
      <w:r>
        <w:rPr>
          <w:rFonts w:ascii="微软雅黑" w:hAnsi="微软雅黑" w:eastAsia="微软雅黑"/>
          <w:b/>
          <w:i w:val="0"/>
          <w:color w:val="141A26"/>
          <w:sz w:val="24"/>
        </w:rPr>
        <w:t>猎聘数据：芯片行业新发职位+22.2%，先进封装+134.6%，AI 芯片架构师年薪120—180万</w:t>
      </w:r>
    </w:p>
    <w:p>
      <w:pPr>
        <w:spacing w:after="140" w:before="0" w:line="312" w:lineRule="auto"/>
        <w:ind w:left="113"/>
      </w:pPr>
      <w:r>
        <w:rPr>
          <w:rFonts w:ascii="微软雅黑" w:hAnsi="微软雅黑" w:eastAsia="微软雅黑"/>
          <w:b w:val="0"/>
          <w:i w:val="0"/>
          <w:color w:val="202833"/>
          <w:sz w:val="22"/>
        </w:rPr>
        <w:t>10月22日《界面新闻》援引猎聘数据：今年1—9月芯片行业新发职位较去年同期增长22.2%，平均招聘年薪29.19万元、同比上涨8.8%。先进封装新发职位同比增长134.6%，平均年薪42.24万元。AI 芯片架构师成为最稀缺岗位，燧原科技为 Chiplet/D2D 方向开出的最高年包达180万元；行业报告显示成熟 AI 芯片架构师年薪区间120—180万元，领军研发总监有25%年薪可达450万元，猎头口径下供需比达1:10。</w:t>
      </w:r>
    </w:p>
    <w:p>
      <w:pPr>
        <w:spacing w:after="140" w:before="0" w:line="312" w:lineRule="auto"/>
        <w:ind w:left="113"/>
      </w:pPr>
      <w:r>
        <w:rPr>
          <w:rFonts w:ascii="微软雅黑" w:hAnsi="微软雅黑" w:eastAsia="微软雅黑"/>
          <w:b w:val="0"/>
          <w:i w:val="0"/>
          <w:color w:val="202833"/>
          <w:sz w:val="22"/>
        </w:rPr>
        <w:t>但同一组数据里有一个冷水：国内能独立承担大算力芯片、Chiplet 方案研发的资深架构人才仅有数百人；截至2025年国内集成电路行业人才缺口30万，预计2030年达50万以上，高端人才在从业人员中占比不足3%。企业招首席架构师周期可达半年，候选人临定 offer 被同行截胡已成常态。</w:t>
      </w:r>
    </w:p>
    <w:p>
      <w:pPr>
        <w:spacing w:after="140" w:line="312" w:lineRule="auto"/>
        <w:shd w:val="clear" w:fill="FFF4E6"/>
      </w:pPr>
      <w:r>
        <w:rPr>
          <w:rFonts w:ascii="微软雅黑" w:hAnsi="微软雅黑" w:eastAsia="微软雅黑"/>
          <w:b/>
          <w:i w:val="0"/>
          <w:color w:val="F57C00"/>
          <w:sz w:val="22"/>
        </w:rPr>
        <w:t>【重点】</w:t>
      </w:r>
      <w:r>
        <w:rPr>
          <w:rFonts w:ascii="微软雅黑" w:hAnsi="微软雅黑" w:eastAsia="微软雅黑"/>
          <w:b w:val="0"/>
          <w:i w:val="0"/>
          <w:color w:val="202833"/>
          <w:sz w:val="22"/>
        </w:rPr>
        <w:t xml:space="preserve">  </w:t>
      </w:r>
      <w:r>
        <w:rPr>
          <w:rFonts w:ascii="微软雅黑" w:hAnsi="微软雅黑" w:eastAsia="微软雅黑"/>
          <w:b w:val="0"/>
          <w:i w:val="0"/>
          <w:color w:val="202833"/>
          <w:sz w:val="22"/>
        </w:rPr>
        <w:t>是「招聘难」与「就业难」同时存在的标准样本：学历门槛达标不等于满足工程能力要求，学历与实战经验之间出现明显断档。对招聘平台和职业教育机构而言，这个断档就是产品机会——不是撮合更多简历，而是缩短「能毕业」到「能上手」的距离。</w:t>
      </w:r>
    </w:p>
    <w:p>
      <w:pPr>
        <w:spacing w:after="200" w:line="312" w:lineRule="auto"/>
        <w:ind w:left="113"/>
        <w:shd w:val="clear" w:fill="EAF1FB"/>
      </w:pPr>
      <w:r>
        <w:rPr>
          <w:rFonts w:ascii="微软雅黑" w:hAnsi="微软雅黑" w:eastAsia="微软雅黑"/>
          <w:b/>
          <w:i w:val="0"/>
          <w:color w:val="F57C00"/>
          <w:sz w:val="22"/>
        </w:rPr>
        <w:t>判断：</w:t>
      </w:r>
      <w:r>
        <w:rPr>
          <w:rFonts w:ascii="微软雅黑" w:hAnsi="微软雅黑" w:eastAsia="微软雅黑"/>
          <w:b w:val="0"/>
          <w:i w:val="0"/>
          <w:color w:val="202833"/>
          <w:sz w:val="22"/>
        </w:rPr>
        <w:t>在线招聘进入「结构性定价」阶段：同一个平台内，一头是43.9%增速的低价照护岗，一头是180万年包的芯片架构岗。平台的核心能力不再是「有多少职位」，而是「能不能把对的人放到对的价位上」。</w:t>
      </w:r>
    </w:p>
    <w:p>
      <w:pPr>
        <w:spacing w:after="120" w:before="240" w:line="312" w:lineRule="auto"/>
        <w:shd w:val="clear" w:fill="EAF1FB"/>
      </w:pPr>
      <w:r>
        <w:rPr>
          <w:rFonts w:ascii="微软雅黑" w:hAnsi="微软雅黑" w:eastAsia="微软雅黑"/>
          <w:b/>
          <w:i w:val="0"/>
          <w:color w:val="1E4E9C"/>
          <w:sz w:val="30"/>
        </w:rPr>
        <w:t>◆ 出国劳务板块</w:t>
      </w:r>
    </w:p>
    <w:p>
      <w:pPr>
        <w:spacing w:after="60" w:line="312" w:lineRule="auto"/>
      </w:pPr>
      <w:r>
        <w:rPr>
          <w:rFonts w:ascii="微软雅黑" w:hAnsi="微软雅黑" w:eastAsia="微软雅黑"/>
          <w:b/>
          <w:i w:val="0"/>
          <w:color w:val="F57C00"/>
          <w:sz w:val="24"/>
        </w:rPr>
        <w:t>▍</w:t>
      </w:r>
      <w:r>
        <w:rPr>
          <w:rFonts w:ascii="微软雅黑" w:hAnsi="微软雅黑" w:eastAsia="微软雅黑"/>
          <w:b/>
          <w:i w:val="0"/>
          <w:color w:val="141A26"/>
          <w:sz w:val="24"/>
        </w:rPr>
        <w:t>商务部明确：推动修订对外承包工程、对外劳务合作两个条例</w:t>
      </w:r>
    </w:p>
    <w:p>
      <w:pPr>
        <w:spacing w:after="140" w:before="0" w:line="312" w:lineRule="auto"/>
        <w:ind w:left="113"/>
      </w:pPr>
      <w:r>
        <w:rPr>
          <w:rFonts w:ascii="微软雅黑" w:hAnsi="微软雅黑" w:eastAsia="微软雅黑"/>
          <w:b w:val="0"/>
          <w:i w:val="0"/>
          <w:color w:val="202833"/>
          <w:sz w:val="22"/>
        </w:rPr>
        <w:t>10月22日，国务院新闻办举行「开局起步'十五五'」系列主题新闻发布会。商务部对外投资和经济合作司司长赵春峰介绍：截至2025年底，我国对外投资存量近3.4万亿美元，连续9年保持世界前三；今年前9个月全行业对外直接投资1286.2亿美元，实现平稳有序发展。2025年我国境外企业实现销售收入3.8万亿美元。</w:t>
      </w:r>
    </w:p>
    <w:p>
      <w:pPr>
        <w:spacing w:after="140" w:line="312" w:lineRule="auto"/>
        <w:shd w:val="clear" w:fill="FFF4E6"/>
      </w:pPr>
      <w:r>
        <w:rPr>
          <w:rFonts w:ascii="微软雅黑" w:hAnsi="微软雅黑" w:eastAsia="微软雅黑"/>
          <w:b/>
          <w:i w:val="0"/>
          <w:color w:val="F57C00"/>
          <w:sz w:val="22"/>
        </w:rPr>
        <w:t>【重点】</w:t>
      </w:r>
      <w:r>
        <w:rPr>
          <w:rFonts w:ascii="微软雅黑" w:hAnsi="微软雅黑" w:eastAsia="微软雅黑"/>
          <w:b w:val="0"/>
          <w:i w:val="0"/>
          <w:color w:val="202833"/>
          <w:sz w:val="22"/>
        </w:rPr>
        <w:t xml:space="preserve">  </w:t>
      </w:r>
      <w:r>
        <w:rPr>
          <w:rFonts w:ascii="微软雅黑" w:hAnsi="微软雅黑" w:eastAsia="微软雅黑"/>
          <w:b w:val="0"/>
          <w:i w:val="0"/>
          <w:color w:val="202833"/>
          <w:sz w:val="22"/>
        </w:rPr>
        <w:t>法律制度的表述里，有一句话对出国劳务行业是决定性的：「加快制修订对外投资管理办法及实施细则，推动修订对外承包工程和对外劳务合作两个条例」。现行的《对外承包工程管理条例》（2008年）和《对外劳务合作管理条例》（2012年）分别已施行18年和14年，其间行业形态、用工方式、目的地市场结构都发生了根本变化。两个条例同时进入修订程序，意味着对外劳务的经营许可、备用金、合同备案、境外管理责任、纠纷处置等基础规则将系统性更新。</w:t>
      </w:r>
    </w:p>
    <w:p>
      <w:pPr>
        <w:spacing w:after="140" w:before="0" w:line="312" w:lineRule="auto"/>
        <w:ind w:left="113"/>
      </w:pPr>
      <w:r>
        <w:rPr>
          <w:rFonts w:ascii="微软雅黑" w:hAnsi="微软雅黑" w:eastAsia="微软雅黑"/>
          <w:b w:val="0"/>
          <w:i w:val="0"/>
          <w:color w:val="202833"/>
          <w:sz w:val="22"/>
        </w:rPr>
        <w:t>同场发布会还给出了另外三个数字：我国已与重点国别建立90多个投资合作工作组；今年前三季度绿色低碳、数字产业领域对外投资同比增速均超过20%；今年以来商务部境外企业和对外投资联络服务平台已发布各类安全信息9000余条。安全信息发布量的量级，本身就是海外用工风险水平的温度计。</w:t>
      </w:r>
    </w:p>
    <w:p>
      <w:pPr>
        <w:spacing w:after="60" w:line="312" w:lineRule="auto"/>
      </w:pPr>
      <w:r>
        <w:rPr>
          <w:rFonts w:ascii="微软雅黑" w:hAnsi="微软雅黑" w:eastAsia="微软雅黑"/>
          <w:b/>
          <w:i w:val="0"/>
          <w:color w:val="F57C00"/>
          <w:sz w:val="24"/>
        </w:rPr>
        <w:t>▍</w:t>
      </w:r>
      <w:r>
        <w:rPr>
          <w:rFonts w:ascii="微软雅黑" w:hAnsi="微软雅黑" w:eastAsia="微软雅黑"/>
          <w:b/>
          <w:i w:val="0"/>
          <w:color w:val="141A26"/>
          <w:sz w:val="24"/>
        </w:rPr>
        <w:t>对外投资管理制度换代：《对外投资管理办法》12月1日施行，投资者扩展到居民个人</w:t>
      </w:r>
    </w:p>
    <w:p>
      <w:pPr>
        <w:spacing w:after="140" w:before="0" w:line="312" w:lineRule="auto"/>
        <w:ind w:left="113"/>
      </w:pPr>
      <w:r>
        <w:rPr>
          <w:rFonts w:ascii="微软雅黑" w:hAnsi="微软雅黑" w:eastAsia="微软雅黑"/>
          <w:b w:val="0"/>
          <w:i w:val="0"/>
          <w:color w:val="202833"/>
          <w:sz w:val="22"/>
        </w:rPr>
        <w:t>10月22日，国家发展改革委公布《对外投资管理办法》，自12月1日起施行，2017年《企业境外投资管理办法》同步废止。修订背景是：对外投资流量从2017年的1583亿美元增至2025年的2136亿美元，存量从1.8万亿美元增至3.4万亿美元，同时外部环境复杂深刻变化、单边主义与保护主义上升。</w:t>
      </w:r>
    </w:p>
    <w:p>
      <w:pPr>
        <w:spacing w:after="140" w:before="0" w:line="312" w:lineRule="auto"/>
        <w:ind w:left="113"/>
      </w:pPr>
      <w:r>
        <w:rPr>
          <w:rFonts w:ascii="微软雅黑" w:hAnsi="微软雅黑" w:eastAsia="微软雅黑"/>
          <w:b w:val="0"/>
          <w:i w:val="0"/>
          <w:color w:val="202833"/>
          <w:sz w:val="22"/>
        </w:rPr>
        <w:t>三方面主要修订：一是投资者范围从「境内企业及非企业组织」扩展到「境内企业、其他组织和居民个人」，进一步落实各类投资者的对外投资主体地位；二是完善重大不利情况报告制度、新设对外投资信息年度报告制度，覆盖少数国家要求中方提供技术、数据或处分股权资产等情形；三是完善境外再投资报告、对少数金额大且关乎外交关系的项目设置前期工作情况报告制度。</w:t>
      </w:r>
    </w:p>
    <w:p>
      <w:pPr>
        <w:spacing w:after="140" w:before="0" w:line="312" w:lineRule="auto"/>
        <w:ind w:left="113"/>
      </w:pPr>
      <w:r>
        <w:rPr>
          <w:rFonts w:ascii="微软雅黑" w:hAnsi="微软雅黑" w:eastAsia="微软雅黑"/>
          <w:b w:val="0"/>
          <w:i w:val="0"/>
          <w:color w:val="202833"/>
          <w:sz w:val="22"/>
        </w:rPr>
        <w:t>对劳务与人力资源服务企业的实际影响在于：对外投资主体扩容到居民个人后，「个人出海创业/个体跨境服务」的合规路径被打开，同时也意味着以个人名义规避机构监管的空间被收窄——因为报告义务与保护条款是同时给到的。</w:t>
      </w:r>
    </w:p>
    <w:p>
      <w:pPr>
        <w:spacing w:after="60" w:line="312" w:lineRule="auto"/>
      </w:pPr>
      <w:r>
        <w:rPr>
          <w:rFonts w:ascii="微软雅黑" w:hAnsi="微软雅黑" w:eastAsia="微软雅黑"/>
          <w:b/>
          <w:i w:val="0"/>
          <w:color w:val="F57C00"/>
          <w:sz w:val="24"/>
        </w:rPr>
        <w:t>▍</w:t>
      </w:r>
      <w:r>
        <w:rPr>
          <w:rFonts w:ascii="微软雅黑" w:hAnsi="微软雅黑" w:eastAsia="微软雅黑"/>
          <w:b/>
          <w:i w:val="0"/>
          <w:color w:val="141A26"/>
          <w:sz w:val="24"/>
        </w:rPr>
        <w:t>对外劳务基本面：1—8月派出31.5万人，同比多派4.4万人，月末在外68.1万人</w:t>
      </w:r>
    </w:p>
    <w:p>
      <w:pPr>
        <w:spacing w:after="140" w:before="0" w:line="312" w:lineRule="auto"/>
        <w:ind w:left="113"/>
      </w:pPr>
      <w:r>
        <w:rPr>
          <w:rFonts w:ascii="微软雅黑" w:hAnsi="微软雅黑" w:eastAsia="微软雅黑"/>
          <w:b w:val="0"/>
          <w:i w:val="0"/>
          <w:color w:val="202833"/>
          <w:sz w:val="22"/>
        </w:rPr>
        <w:t>商务部对外投资和经济合作司《2026年1—8月我国对外劳务合作业务简明统计》显示：我国企业共向境外派出各类劳务人员31.5万人，较上年同期增加4.4万人；其中承包工程项下派出9.2万人，劳务合作项下派出22.3万人；月末在外各类劳务人员68.1万人。</w:t>
      </w:r>
    </w:p>
    <w:p>
      <w:pPr>
        <w:spacing w:after="140" w:before="0" w:line="312" w:lineRule="auto"/>
        <w:ind w:left="113"/>
      </w:pPr>
      <w:r>
        <w:rPr>
          <w:rFonts w:ascii="微软雅黑" w:hAnsi="微软雅黑" w:eastAsia="微软雅黑"/>
          <w:b w:val="0"/>
          <w:i w:val="0"/>
          <w:color w:val="202833"/>
          <w:sz w:val="22"/>
        </w:rPr>
        <w:t>结构上值得注意的是：劳务合作项下（22.3万）已经是承包工程项下（9.2万）的2.4倍。这与此前「工程带动劳务」的传统模式不同——现在的增量更多来自服务业、护理、餐饮、制造等直接劳务合作渠道。这也是两个条例必须修订的现实原因：2012年的《对外劳务合作管理条例》设计时，主要场景还是「企业成建制外派」，而非今天这种多元、分散、平台化的输出方式。</w:t>
      </w:r>
    </w:p>
    <w:p>
      <w:pPr>
        <w:spacing w:after="140" w:before="0" w:line="312" w:lineRule="auto"/>
        <w:ind w:left="113"/>
      </w:pPr>
      <w:r>
        <w:rPr>
          <w:rFonts w:ascii="微软雅黑" w:hAnsi="微软雅黑" w:eastAsia="微软雅黑"/>
          <w:b w:val="0"/>
          <w:i w:val="0"/>
          <w:color w:val="202833"/>
          <w:sz w:val="22"/>
        </w:rPr>
        <w:t>地方层面的劳务品牌建设在同步推进。10月13日，湖北利川「银发守护」康养人才第二期师资培训班在贵州开班，16名康养骨干赴黔深造5天，课程覆盖文化康养服务、老年营养膳食、老年人能力评估等模块，目标是夯实「利川康养师」劳务品牌的人才基础。这类「县域劳务品牌+对口帮扶+跨省实训」的模式，正在成为出国劳务与国内高端照护之间的能力跳板。</w:t>
      </w:r>
    </w:p>
    <w:p>
      <w:pPr>
        <w:spacing w:after="200" w:line="312" w:lineRule="auto"/>
        <w:ind w:left="113"/>
        <w:shd w:val="clear" w:fill="EAF1FB"/>
      </w:pPr>
      <w:r>
        <w:rPr>
          <w:rFonts w:ascii="微软雅黑" w:hAnsi="微软雅黑" w:eastAsia="微软雅黑"/>
          <w:b/>
          <w:i w:val="0"/>
          <w:color w:val="F57C00"/>
          <w:sz w:val="22"/>
        </w:rPr>
        <w:t>判断：</w:t>
      </w:r>
      <w:r>
        <w:rPr>
          <w:rFonts w:ascii="微软雅黑" w:hAnsi="微软雅黑" w:eastAsia="微软雅黑"/>
          <w:b w:val="0"/>
          <w:i w:val="0"/>
          <w:color w:val="202833"/>
          <w:sz w:val="22"/>
        </w:rPr>
        <w:t>出国劳务正处在「制度重写的前夜」。两个条例同时修订，意味着未来12—24个月内，行业会经历一次以合规能力为核心的门槛重置；而劳务合作项下派出量达到承包工程项下的2.4倍，说明这次重置的对象不是工程队，是分散的服务型劳务。</w:t>
      </w:r>
    </w:p>
    <w:p>
      <w:pPr>
        <w:spacing w:after="120" w:before="240" w:line="312" w:lineRule="auto"/>
        <w:shd w:val="clear" w:fill="EAF1FB"/>
      </w:pPr>
      <w:r>
        <w:rPr>
          <w:rFonts w:ascii="微软雅黑" w:hAnsi="微软雅黑" w:eastAsia="微软雅黑"/>
          <w:b/>
          <w:i w:val="0"/>
          <w:color w:val="1E4E9C"/>
          <w:sz w:val="30"/>
        </w:rPr>
        <w:t>◆ 灵活用工板块</w:t>
      </w:r>
    </w:p>
    <w:p>
      <w:pPr>
        <w:spacing w:after="60" w:line="312" w:lineRule="auto"/>
      </w:pPr>
      <w:r>
        <w:rPr>
          <w:rFonts w:ascii="微软雅黑" w:hAnsi="微软雅黑" w:eastAsia="微软雅黑"/>
          <w:b/>
          <w:i w:val="0"/>
          <w:color w:val="F57C00"/>
          <w:sz w:val="24"/>
        </w:rPr>
        <w:t>▍</w:t>
      </w:r>
      <w:r>
        <w:rPr>
          <w:rFonts w:ascii="微软雅黑" w:hAnsi="微软雅黑" w:eastAsia="微软雅黑"/>
          <w:b/>
          <w:i w:val="0"/>
          <w:color w:val="141A26"/>
          <w:sz w:val="24"/>
        </w:rPr>
        <w:t>7家平台联合签署医保倡议书：平台保障从「算法」推进到「社保」</w:t>
      </w:r>
    </w:p>
    <w:p>
      <w:pPr>
        <w:spacing w:after="140" w:before="0" w:line="312" w:lineRule="auto"/>
        <w:ind w:left="113"/>
      </w:pPr>
      <w:r>
        <w:rPr>
          <w:rFonts w:ascii="微软雅黑" w:hAnsi="微软雅黑" w:eastAsia="微软雅黑"/>
          <w:b w:val="0"/>
          <w:i w:val="0"/>
          <w:color w:val="202833"/>
          <w:sz w:val="22"/>
        </w:rPr>
        <w:t>10月22日中午，国家医保局发布《关于携手推进新就业形态人员参加基本医疗保险的联合倡议书》。美团、淘宝闪购、顺丰同城、中通快递、曹操专车、T3出行、滴滴出行7家平台共同签署。倡议五条：主动担当、支持参保；鼓励参保、提升保障；优化服务、便捷办理；加强宣传、直达身边；协同联动、全程守护。</w:t>
      </w:r>
    </w:p>
    <w:p>
      <w:pPr>
        <w:spacing w:after="140" w:before="0" w:line="312" w:lineRule="auto"/>
        <w:ind w:left="113"/>
      </w:pPr>
      <w:r>
        <w:rPr>
          <w:rFonts w:ascii="微软雅黑" w:hAnsi="微软雅黑" w:eastAsia="微软雅黑"/>
          <w:b w:val="0"/>
          <w:i w:val="0"/>
          <w:color w:val="202833"/>
          <w:sz w:val="22"/>
        </w:rPr>
        <w:t>这条新闻的分量要放在时间线上看：10月中旬《新就业形态劳动者权益保障办法（征求意见稿）》公开征求意见，解决的是「劳动关系认定+算法规则」；10月22日的医保倡议，解决的是「社会保险接入」。前者管「怎么干活」，后者管「干完活有没有兜底」。两条线合起来，平台用工的保障框架第一次出现了完整轮廓。</w:t>
      </w:r>
    </w:p>
    <w:p>
      <w:pPr>
        <w:spacing w:after="140" w:line="312" w:lineRule="auto"/>
        <w:shd w:val="clear" w:fill="FFF4E6"/>
      </w:pPr>
      <w:r>
        <w:rPr>
          <w:rFonts w:ascii="微软雅黑" w:hAnsi="微软雅黑" w:eastAsia="微软雅黑"/>
          <w:b/>
          <w:i w:val="0"/>
          <w:color w:val="F57C00"/>
          <w:sz w:val="22"/>
        </w:rPr>
        <w:t>【重点】</w:t>
      </w:r>
      <w:r>
        <w:rPr>
          <w:rFonts w:ascii="微软雅黑" w:hAnsi="微软雅黑" w:eastAsia="微软雅黑"/>
          <w:b w:val="0"/>
          <w:i w:val="0"/>
          <w:color w:val="202833"/>
          <w:sz w:val="22"/>
        </w:rPr>
        <w:t xml:space="preserve">  </w:t>
      </w:r>
      <w:r>
        <w:rPr>
          <w:rFonts w:ascii="微软雅黑" w:hAnsi="微软雅黑" w:eastAsia="微软雅黑"/>
          <w:b w:val="0"/>
          <w:i w:val="0"/>
          <w:color w:val="202833"/>
          <w:sz w:val="22"/>
        </w:rPr>
        <w:t>灵活用工平台与人力资源服务商的直接影响是成本结构。此前行业普遍以「职业伤害保障单险种」作为低成本合规方案（美团为全国骑手全额缴纳职业伤害保障费用、实现每单必保，并推出养老保险参保补贴、为参保骑手分担一半缴费成本）。医保参保全面推进后，单险种方案将不再足以覆盖合规要求，用工成本会实质上升。谁的结算系统能对接多险种、谁的灵活用工方案能把这部分成本显性化并传导给客户，谁就拿到下一轮订单。</w:t>
      </w:r>
    </w:p>
    <w:p>
      <w:pPr>
        <w:spacing w:after="60" w:line="312" w:lineRule="auto"/>
      </w:pPr>
      <w:r>
        <w:rPr>
          <w:rFonts w:ascii="微软雅黑" w:hAnsi="微软雅黑" w:eastAsia="微软雅黑"/>
          <w:b/>
          <w:i w:val="0"/>
          <w:color w:val="F57C00"/>
          <w:sz w:val="24"/>
        </w:rPr>
        <w:t>▍</w:t>
      </w:r>
      <w:r>
        <w:rPr>
          <w:rFonts w:ascii="微软雅黑" w:hAnsi="微软雅黑" w:eastAsia="微软雅黑"/>
          <w:b/>
          <w:i w:val="0"/>
          <w:color w:val="141A26"/>
          <w:sz w:val="24"/>
        </w:rPr>
        <w:t>职业伤害保障试点累计参保3727万人，参保单数1087亿单</w:t>
      </w:r>
    </w:p>
    <w:p>
      <w:pPr>
        <w:spacing w:after="140" w:before="0" w:line="312" w:lineRule="auto"/>
        <w:ind w:left="113"/>
      </w:pPr>
      <w:r>
        <w:rPr>
          <w:rFonts w:ascii="微软雅黑" w:hAnsi="微软雅黑" w:eastAsia="微软雅黑"/>
          <w:b w:val="0"/>
          <w:i w:val="0"/>
          <w:color w:val="202833"/>
          <w:sz w:val="22"/>
        </w:rPr>
        <w:t>10月10日国新办「开局起步'十五五'」发布会上，人社部副部长李忠介绍：新就业形态人员职业伤害保障试点开展以来，制度运行总体平稳、试点范围不断扩大、参保人数不断增多，截至9月底累计参保3727万人，参保单数达1087亿单。同期全国基本养老保险、失业保险、工伤保险参保人数分别为10.79亿人、2.51亿人、3.27亿人，三项社会保险基金累计结余11.2万亿元。</w:t>
      </w:r>
    </w:p>
    <w:p>
      <w:pPr>
        <w:spacing w:after="140" w:before="0" w:line="312" w:lineRule="auto"/>
        <w:ind w:left="113"/>
      </w:pPr>
      <w:r>
        <w:rPr>
          <w:rFonts w:ascii="微软雅黑" w:hAnsi="微软雅黑" w:eastAsia="微软雅黑"/>
          <w:b w:val="0"/>
          <w:i w:val="0"/>
          <w:color w:val="202833"/>
          <w:sz w:val="22"/>
        </w:rPr>
        <w:t>「参保单数1087亿单」这个口径值得单独看：它说明职业伤害保障是按单计费、按单承保的——这是与传统的按月、按人头参保完全不同的精算逻辑。按单人计费的社保体系要承接按单计费的零工经济，中间的技术改造量极大，这也是为什么医保倡议里要特别强调「优化服务、便捷办理」。</w:t>
      </w:r>
    </w:p>
    <w:p>
      <w:pPr>
        <w:spacing w:after="140" w:before="0" w:line="312" w:lineRule="auto"/>
        <w:ind w:left="113"/>
      </w:pPr>
      <w:r>
        <w:rPr>
          <w:rFonts w:ascii="微软雅黑" w:hAnsi="微软雅黑" w:eastAsia="微软雅黑"/>
          <w:b w:val="0"/>
          <w:i w:val="0"/>
          <w:color w:val="202833"/>
          <w:sz w:val="22"/>
        </w:rPr>
        <w:t>下一步政策方向已经明确：鼓励支持灵活就业人员、新就业形态人员参加职工养老保险，积极开展扩大企业年金覆盖面试点，推进个人养老金制度实施，完善社保关系转移接续政策，推进更多社保服务事项全国通办和社保卡一卡通用。</w:t>
      </w:r>
    </w:p>
    <w:p>
      <w:pPr>
        <w:spacing w:after="60" w:line="312" w:lineRule="auto"/>
      </w:pPr>
      <w:r>
        <w:rPr>
          <w:rFonts w:ascii="微软雅黑" w:hAnsi="微软雅黑" w:eastAsia="微软雅黑"/>
          <w:b/>
          <w:i w:val="0"/>
          <w:color w:val="F57C00"/>
          <w:sz w:val="24"/>
        </w:rPr>
        <w:t>▍</w:t>
      </w:r>
      <w:r>
        <w:rPr>
          <w:rFonts w:ascii="微软雅黑" w:hAnsi="微软雅黑" w:eastAsia="微软雅黑"/>
          <w:b/>
          <w:i w:val="0"/>
          <w:color w:val="141A26"/>
          <w:sz w:val="24"/>
        </w:rPr>
        <w:t>武汉灵活就业公积金升级：贷款倍数10倍→20倍，最高120万，取消养老前置门槛</w:t>
      </w:r>
    </w:p>
    <w:p>
      <w:pPr>
        <w:spacing w:after="140" w:before="0" w:line="312" w:lineRule="auto"/>
        <w:ind w:left="113"/>
      </w:pPr>
      <w:r>
        <w:rPr>
          <w:rFonts w:ascii="微软雅黑" w:hAnsi="微软雅黑" w:eastAsia="微软雅黑"/>
          <w:b w:val="0"/>
          <w:i w:val="0"/>
          <w:color w:val="202833"/>
          <w:sz w:val="22"/>
        </w:rPr>
        <w:t>10月23日《证券时报》报道，武汉新版《灵活就业人员住房公积金缴存使用管理办法》落地。核心变化四条：贷款额度计算公式中的倍数由10倍提高到20倍，缴存系数与单位职工并轨；以账户日均缴存余额2万元、缴存满3年（系数1.2）测算，可贷额度约48万元，较旧规翻倍；灵活就业人员可购买第二套住房、申请「商转公」，首套二套公积金贷款最高额度均为120万元，多子女家庭可上浮20%至144万元；取消「一次性缴存方式」，统一为「自主缴存」和「按月扣划缴存」两种模式，可按月转换。</w:t>
      </w:r>
    </w:p>
    <w:p>
      <w:pPr>
        <w:spacing w:after="140" w:before="0" w:line="312" w:lineRule="auto"/>
        <w:ind w:left="113"/>
      </w:pPr>
      <w:r>
        <w:rPr>
          <w:rFonts w:ascii="微软雅黑" w:hAnsi="微软雅黑" w:eastAsia="微软雅黑"/>
          <w:b w:val="0"/>
          <w:i w:val="0"/>
          <w:color w:val="202833"/>
          <w:sz w:val="22"/>
        </w:rPr>
        <w:t>同时取消自动注销机制和间隔限制，缴存人可随时恢复或暂停；对按约定缴存满12个月且期间未提取、未贷款的，销户提取时按0.5%年利率给予一次性补贴。今年9月20日新修订的《住房公积金管理条例》正式施行，首次在国家层面明确灵活就业人员可自愿缴存。</w:t>
      </w:r>
    </w:p>
    <w:p>
      <w:pPr>
        <w:spacing w:after="140" w:line="312" w:lineRule="auto"/>
        <w:shd w:val="clear" w:fill="FFF4E6"/>
      </w:pPr>
      <w:r>
        <w:rPr>
          <w:rFonts w:ascii="微软雅黑" w:hAnsi="微软雅黑" w:eastAsia="微软雅黑"/>
          <w:b/>
          <w:i w:val="0"/>
          <w:color w:val="F57C00"/>
          <w:sz w:val="22"/>
        </w:rPr>
        <w:t>【重点】</w:t>
      </w:r>
      <w:r>
        <w:rPr>
          <w:rFonts w:ascii="微软雅黑" w:hAnsi="微软雅黑" w:eastAsia="微软雅黑"/>
          <w:b w:val="0"/>
          <w:i w:val="0"/>
          <w:color w:val="202833"/>
          <w:sz w:val="22"/>
        </w:rPr>
        <w:t xml:space="preserve">  </w:t>
      </w:r>
      <w:r>
        <w:rPr>
          <w:rFonts w:ascii="微软雅黑" w:hAnsi="微软雅黑" w:eastAsia="微软雅黑"/>
          <w:b w:val="0"/>
          <w:i w:val="0"/>
          <w:color w:val="202833"/>
          <w:sz w:val="22"/>
        </w:rPr>
        <w:t>策的技术要点是「取消养老保险前置门槛」——过去灵活就业者要参加公积金，往往需要先有养老参保记录，这一条把大量骑手、网约车司机挡在门外。门槛取消、倍数翻倍、缴存灵活三项叠加，实质是把「灵活就业者」在住房金融体系里当作「单位职工」平权对待。对灵活用工平台的启示是：福利方案正在从「平台自建」转向「制度接入」，平台的角色会从「发福利的人」变成「办手续的人」。</w:t>
      </w:r>
    </w:p>
    <w:p>
      <w:pPr>
        <w:spacing w:after="60" w:line="312" w:lineRule="auto"/>
      </w:pPr>
      <w:r>
        <w:rPr>
          <w:rFonts w:ascii="微软雅黑" w:hAnsi="微软雅黑" w:eastAsia="微软雅黑"/>
          <w:b/>
          <w:i w:val="0"/>
          <w:color w:val="F57C00"/>
          <w:sz w:val="24"/>
        </w:rPr>
        <w:t>▍</w:t>
      </w:r>
      <w:r>
        <w:rPr>
          <w:rFonts w:ascii="微软雅黑" w:hAnsi="微软雅黑" w:eastAsia="微软雅黑"/>
          <w:b/>
          <w:i w:val="0"/>
          <w:color w:val="141A26"/>
          <w:sz w:val="24"/>
        </w:rPr>
        <w:t>地方实践：合肥的「制度+场景」组合与嵩明的「零工市场+AI 培训」</w:t>
      </w:r>
    </w:p>
    <w:p>
      <w:pPr>
        <w:spacing w:after="140" w:before="0" w:line="312" w:lineRule="auto"/>
        <w:ind w:left="113"/>
      </w:pPr>
      <w:r>
        <w:rPr>
          <w:rFonts w:ascii="微软雅黑" w:hAnsi="微软雅黑" w:eastAsia="微软雅黑"/>
          <w:b w:val="0"/>
          <w:i w:val="0"/>
          <w:color w:val="202833"/>
          <w:sz w:val="22"/>
        </w:rPr>
        <w:t>合肥的做法是把新就业群体保障做成一套组合：2026年初举办快递行业集体协商会，京东、申通等10余家快递企业与快递员代表协商并通过《合肥市快递行业集体合同》；4月制定《新业态企业用工行政指导实施方案》，聚焦网约出行和货运、即时配送、快递领域；6月修订《合肥市网约车经营服务管理实施细则》，两次发布行业风险预警、建立运力动态调整机制；新出台的《外卖平台和第三方合作单位安全监管规范和安全生产工作指引》把路况拥堵、天气状况、商家出餐时间纳入算法模型，要求采用「算法取中」原则，并建立疲劳预警——骑手连续送单超4小时，系统发出提示且20分钟内不再派单；7月与人社局等15个部门联合印发专项行动方案，覆盖小区、商圈、学校、医院等八类高频配送场景。</w:t>
      </w:r>
    </w:p>
    <w:p>
      <w:pPr>
        <w:spacing w:after="140" w:before="0" w:line="312" w:lineRule="auto"/>
        <w:ind w:left="113"/>
      </w:pPr>
      <w:r>
        <w:rPr>
          <w:rFonts w:ascii="微软雅黑" w:hAnsi="微软雅黑" w:eastAsia="微软雅黑"/>
          <w:b w:val="0"/>
          <w:i w:val="0"/>
          <w:color w:val="202833"/>
          <w:sz w:val="22"/>
        </w:rPr>
        <w:t>硬件侧的数据是：全市划设外卖临时停车区23处、网约车专用泊位150个，建成1080家暖心驿站，年均服务新就业形态劳动者超150万人次；建成13个新业态一站式调解中心、150个基层公共调解服务机构。</w:t>
      </w:r>
    </w:p>
    <w:p>
      <w:pPr>
        <w:spacing w:after="140" w:before="0" w:line="312" w:lineRule="auto"/>
        <w:ind w:left="113"/>
      </w:pPr>
      <w:r>
        <w:rPr>
          <w:rFonts w:ascii="微软雅黑" w:hAnsi="微软雅黑" w:eastAsia="微软雅黑"/>
          <w:b w:val="0"/>
          <w:i w:val="0"/>
          <w:color w:val="202833"/>
          <w:sz w:val="22"/>
        </w:rPr>
        <w:t>云南嵩明则给出了另一种解法：把技能培训班直接开进零工市场。嵩明县首期AI漫剧制作技能培训班在零工市场开课，22台电脑、22名学员、6天集训、全部取得证书；课程围绕编剧文本、分镜逻辑、AI后期操作全流程，「用什么就教什么、上岗要什么就练什么」；培训结束当天在零工市场同步举办对接洽谈，8名学员现场与云南晶晴动漫签约。「政府搭台、企业出题、机构施训」的机制，加上培训补贴全程免费，解决了过去「组织培训最难的是招生」的老问题——因为培训地点就在求职者等派单的地方。</w:t>
      </w:r>
    </w:p>
    <w:p>
      <w:pPr>
        <w:spacing w:after="200" w:line="312" w:lineRule="auto"/>
        <w:ind w:left="113"/>
        <w:shd w:val="clear" w:fill="EAF1FB"/>
      </w:pPr>
      <w:r>
        <w:rPr>
          <w:rFonts w:ascii="微软雅黑" w:hAnsi="微软雅黑" w:eastAsia="微软雅黑"/>
          <w:b/>
          <w:i w:val="0"/>
          <w:color w:val="F57C00"/>
          <w:sz w:val="22"/>
        </w:rPr>
        <w:t>判断：</w:t>
      </w:r>
      <w:r>
        <w:rPr>
          <w:rFonts w:ascii="微软雅黑" w:hAnsi="微软雅黑" w:eastAsia="微软雅黑"/>
          <w:b w:val="0"/>
          <w:i w:val="0"/>
          <w:color w:val="202833"/>
          <w:sz w:val="22"/>
        </w:rPr>
        <w:t>灵活用工的政策重心这一年完成了从「算法不能太狠」到「社保必须接上」的迁移。前者是约束平台，后者是给劳动者兜底，但两者对企业的共同效果都是成本上升。行业的分水岭将出现在「谁能把合规成本做成产品」这件事上。</w:t>
      </w:r>
    </w:p>
    <w:p>
      <w:pPr>
        <w:spacing w:after="120" w:before="240" w:line="312" w:lineRule="auto"/>
        <w:shd w:val="clear" w:fill="EAF1FB"/>
      </w:pPr>
      <w:r>
        <w:rPr>
          <w:rFonts w:ascii="微软雅黑" w:hAnsi="微软雅黑" w:eastAsia="微软雅黑"/>
          <w:b/>
          <w:i w:val="0"/>
          <w:color w:val="1E4E9C"/>
          <w:sz w:val="30"/>
        </w:rPr>
        <w:t>◆ 投资创业板块</w:t>
      </w:r>
    </w:p>
    <w:p>
      <w:pPr>
        <w:spacing w:after="60" w:line="312" w:lineRule="auto"/>
      </w:pPr>
      <w:r>
        <w:rPr>
          <w:rFonts w:ascii="微软雅黑" w:hAnsi="微软雅黑" w:eastAsia="微软雅黑"/>
          <w:b/>
          <w:i w:val="0"/>
          <w:color w:val="F57C00"/>
          <w:sz w:val="24"/>
        </w:rPr>
        <w:t>▍</w:t>
      </w:r>
      <w:r>
        <w:rPr>
          <w:rFonts w:ascii="微软雅黑" w:hAnsi="微软雅黑" w:eastAsia="微软雅黑"/>
          <w:b/>
          <w:i w:val="0"/>
          <w:color w:val="141A26"/>
          <w:sz w:val="24"/>
        </w:rPr>
        <w:t>全球 HR 科技 TOP10 市值单月缩水331亿美元（-8.0%），中国 TOP10 缩水10.7%</w:t>
      </w:r>
    </w:p>
    <w:p>
      <w:pPr>
        <w:spacing w:after="140" w:before="0" w:line="312" w:lineRule="auto"/>
        <w:ind w:left="113"/>
      </w:pPr>
      <w:r>
        <w:rPr>
          <w:rFonts w:ascii="微软雅黑" w:hAnsi="微软雅黑" w:eastAsia="微软雅黑"/>
          <w:b w:val="0"/>
          <w:i w:val="0"/>
          <w:color w:val="202833"/>
          <w:sz w:val="22"/>
        </w:rPr>
        <w:t>HRTech 10月发布的《2026年10月全球行业观察》显示：截至10月2日收盘，全球 HR 上市公司市值 TOP10 合计约3783亿美元，较上期减少331亿美元，降幅8.0%；中国 HR 上市公司 TOP10 合计约721.97亿元人民币，下降10.7%。</w:t>
      </w:r>
    </w:p>
    <w:p>
      <w:pPr>
        <w:spacing w:after="140" w:before="0" w:line="312" w:lineRule="auto"/>
        <w:ind w:left="113"/>
      </w:pPr>
      <w:r>
        <w:rPr>
          <w:rFonts w:ascii="微软雅黑" w:hAnsi="微软雅黑" w:eastAsia="微软雅黑"/>
          <w:b w:val="0"/>
          <w:i w:val="0"/>
          <w:color w:val="202833"/>
          <w:sz w:val="22"/>
        </w:rPr>
        <w:t>资本市场的降温与一级市场的热度形成明显反差。报告的核心判断是：企业在 AI 产品和商业化上的探索并没有因为二级市场调整而停下脚步。这个反差在 HR 赛道尤其典型——二级市场买的是「当前的订阅收入」，一级市场买的是「AI 能否把人力服务从按人头收费改成按结果收费」。</w:t>
      </w:r>
    </w:p>
    <w:p>
      <w:pPr>
        <w:spacing w:after="60" w:line="312" w:lineRule="auto"/>
      </w:pPr>
      <w:r>
        <w:rPr>
          <w:rFonts w:ascii="微软雅黑" w:hAnsi="微软雅黑" w:eastAsia="微软雅黑"/>
          <w:b/>
          <w:i w:val="0"/>
          <w:color w:val="F57C00"/>
          <w:sz w:val="24"/>
        </w:rPr>
        <w:t>▍</w:t>
      </w:r>
      <w:r>
        <w:rPr>
          <w:rFonts w:ascii="微软雅黑" w:hAnsi="微软雅黑" w:eastAsia="微软雅黑"/>
          <w:b/>
          <w:i w:val="0"/>
          <w:color w:val="141A26"/>
          <w:sz w:val="24"/>
        </w:rPr>
        <w:t>一周6笔融资：Pigment 2.5亿美元E轮估值23亿，Firstwork、Rosie、CoComply、LearnUpon、Sharp Performance 全部落袋</w:t>
      </w:r>
    </w:p>
    <w:p>
      <w:pPr>
        <w:spacing w:after="140" w:before="0" w:line="312" w:lineRule="auto"/>
        <w:ind w:left="113"/>
      </w:pPr>
      <w:r>
        <w:rPr>
          <w:rFonts w:ascii="微软雅黑" w:hAnsi="微软雅黑" w:eastAsia="微软雅黑"/>
          <w:b w:val="0"/>
          <w:i w:val="0"/>
          <w:color w:val="202833"/>
          <w:sz w:val="22"/>
        </w:rPr>
        <w:t>六笔融资的方向高度一致：一线员工运营（Firstwork、Sharp Performance）、合规科技（CoComply）、代理式学习（LearnUpon）、照护与灵活用工（Rosie）、规划与绩效（Pigment）。没有一笔是传统的「招聘撮合」或「简历库」。</w:t>
      </w:r>
    </w:p>
    <w:p>
      <w:pPr>
        <w:spacing w:after="140" w:line="312" w:lineRule="auto"/>
        <w:shd w:val="clear" w:fill="FFF4E6"/>
      </w:pPr>
      <w:r>
        <w:rPr>
          <w:rFonts w:ascii="微软雅黑" w:hAnsi="微软雅黑" w:eastAsia="微软雅黑"/>
          <w:b/>
          <w:i w:val="0"/>
          <w:color w:val="F57C00"/>
          <w:sz w:val="22"/>
        </w:rPr>
        <w:t>【重点】</w:t>
      </w:r>
      <w:r>
        <w:rPr>
          <w:rFonts w:ascii="微软雅黑" w:hAnsi="微软雅黑" w:eastAsia="微软雅黑"/>
          <w:b w:val="0"/>
          <w:i w:val="0"/>
          <w:color w:val="202833"/>
          <w:sz w:val="22"/>
        </w:rPr>
        <w:t xml:space="preserve">  </w:t>
      </w:r>
      <w:r>
        <w:rPr>
          <w:rFonts w:ascii="微软雅黑" w:hAnsi="微软雅黑" w:eastAsia="微软雅黑"/>
          <w:b w:val="0"/>
          <w:i w:val="0"/>
          <w:color w:val="202833"/>
          <w:sz w:val="22"/>
        </w:rPr>
        <w:t>oComply 这笔最小的融资（190万英镑）其实最值得中国同行看。它解决的是英国 IR35 规则下的「隐性用工合规」问题——判断一个人的雇佣方式、确定所需的合规核查项目、避免错误分类劳动者。这与中国《新就业形态劳动者权益保障办法（征求意见稿）》里「三种形态分类（劳动关系/书面用工协议/不适用）」要解决的问题在结构上完全一样。政策一旦落地，「用工形态判定与合规留痕」会变成一个有付费意愿的刚需市场。</w:t>
      </w:r>
    </w:p>
    <w:tbl>
      <w:tblPr>
        <w:tblW w:type="auto" w:w="0"/>
        <w:jc w:val="center"/>
        <w:tblLook w:firstColumn="1" w:firstRow="1" w:lastColumn="0" w:lastRow="0" w:noHBand="0" w:noVBand="1" w:val="04A0"/>
      </w:tblPr>
      <w:tblGrid>
        <w:gridCol w:w="1994"/>
        <w:gridCol w:w="1994"/>
        <w:gridCol w:w="1994"/>
        <w:gridCol w:w="1994"/>
        <w:gridCol w:w="1994"/>
      </w:tblGrid>
      <w:tr>
        <w:tc>
          <w:tcPr>
            <w:tcW w:type="dxa" w:w="1994"/>
            <w:vAlign w:val="center"/>
            <w:shd w:val="clear" w:fill="0F2452"/>
          </w:tcPr>
          <w:p>
            <w:pPr>
              <w:jc w:val="center"/>
            </w:pPr>
            <w:r/>
            <w:r>
              <w:rPr>
                <w:rFonts w:ascii="微软雅黑" w:hAnsi="微软雅黑" w:eastAsia="微软雅黑"/>
                <w:b/>
                <w:i w:val="0"/>
                <w:color w:val="FFFFFF"/>
                <w:sz w:val="21"/>
              </w:rPr>
              <w:t>时间</w:t>
            </w:r>
          </w:p>
        </w:tc>
        <w:tc>
          <w:tcPr>
            <w:tcW w:type="dxa" w:w="1994"/>
            <w:vAlign w:val="center"/>
            <w:shd w:val="clear" w:fill="0F2452"/>
          </w:tcPr>
          <w:p>
            <w:pPr>
              <w:jc w:val="center"/>
            </w:pPr>
            <w:r/>
            <w:r>
              <w:rPr>
                <w:rFonts w:ascii="微软雅黑" w:hAnsi="微软雅黑" w:eastAsia="微软雅黑"/>
                <w:b/>
                <w:i w:val="0"/>
                <w:color w:val="FFFFFF"/>
                <w:sz w:val="21"/>
              </w:rPr>
              <w:t>公司</w:t>
            </w:r>
          </w:p>
        </w:tc>
        <w:tc>
          <w:tcPr>
            <w:tcW w:type="dxa" w:w="1994"/>
            <w:vAlign w:val="center"/>
            <w:shd w:val="clear" w:fill="0F2452"/>
          </w:tcPr>
          <w:p>
            <w:pPr>
              <w:jc w:val="center"/>
            </w:pPr>
            <w:r/>
            <w:r>
              <w:rPr>
                <w:rFonts w:ascii="微软雅黑" w:hAnsi="微软雅黑" w:eastAsia="微软雅黑"/>
                <w:b/>
                <w:i w:val="0"/>
                <w:color w:val="FFFFFF"/>
                <w:sz w:val="21"/>
              </w:rPr>
              <w:t>国别</w:t>
            </w:r>
          </w:p>
        </w:tc>
        <w:tc>
          <w:tcPr>
            <w:tcW w:type="dxa" w:w="1994"/>
            <w:vAlign w:val="center"/>
            <w:shd w:val="clear" w:fill="0F2452"/>
          </w:tcPr>
          <w:p>
            <w:pPr>
              <w:jc w:val="center"/>
            </w:pPr>
            <w:r/>
            <w:r>
              <w:rPr>
                <w:rFonts w:ascii="微软雅黑" w:hAnsi="微软雅黑" w:eastAsia="微软雅黑"/>
                <w:b/>
                <w:i w:val="0"/>
                <w:color w:val="FFFFFF"/>
                <w:sz w:val="21"/>
              </w:rPr>
              <w:t>轮次/金额</w:t>
            </w:r>
          </w:p>
        </w:tc>
        <w:tc>
          <w:tcPr>
            <w:tcW w:type="dxa" w:w="1994"/>
            <w:vAlign w:val="center"/>
            <w:shd w:val="clear" w:fill="0F2452"/>
          </w:tcPr>
          <w:p>
            <w:pPr>
              <w:jc w:val="center"/>
            </w:pPr>
            <w:r/>
            <w:r>
              <w:rPr>
                <w:rFonts w:ascii="微软雅黑" w:hAnsi="微软雅黑" w:eastAsia="微软雅黑"/>
                <w:b/>
                <w:i w:val="0"/>
                <w:color w:val="FFFFFF"/>
                <w:sz w:val="21"/>
              </w:rPr>
              <w:t>方向</w:t>
            </w:r>
          </w:p>
        </w:tc>
      </w:tr>
      <w:tr>
        <w:tc>
          <w:tcPr>
            <w:tcW w:type="dxa" w:w="1994"/>
            <w:vAlign w:val="center"/>
          </w:tcPr>
          <w:p>
            <w:pPr>
              <w:jc w:val="center"/>
            </w:pPr>
            <w:r/>
            <w:r>
              <w:rPr>
                <w:rFonts w:ascii="微软雅黑" w:hAnsi="微软雅黑" w:eastAsia="微软雅黑"/>
                <w:b w:val="0"/>
                <w:i w:val="0"/>
                <w:color w:val="202833"/>
                <w:sz w:val="20"/>
              </w:rPr>
              <w:t>10-23</w:t>
            </w:r>
          </w:p>
        </w:tc>
        <w:tc>
          <w:tcPr>
            <w:tcW w:type="dxa" w:w="1994"/>
            <w:vAlign w:val="center"/>
          </w:tcPr>
          <w:p>
            <w:pPr>
              <w:jc w:val="center"/>
            </w:pPr>
            <w:r/>
            <w:r>
              <w:rPr>
                <w:rFonts w:ascii="微软雅黑" w:hAnsi="微软雅黑" w:eastAsia="微软雅黑"/>
                <w:b w:val="0"/>
                <w:i w:val="0"/>
                <w:color w:val="202833"/>
                <w:sz w:val="20"/>
              </w:rPr>
              <w:t>Pigment</w:t>
            </w:r>
          </w:p>
        </w:tc>
        <w:tc>
          <w:tcPr>
            <w:tcW w:type="dxa" w:w="1994"/>
            <w:vAlign w:val="center"/>
          </w:tcPr>
          <w:p>
            <w:pPr>
              <w:jc w:val="center"/>
            </w:pPr>
            <w:r/>
            <w:r>
              <w:rPr>
                <w:rFonts w:ascii="微软雅黑" w:hAnsi="微软雅黑" w:eastAsia="微软雅黑"/>
                <w:b w:val="0"/>
                <w:i w:val="0"/>
                <w:color w:val="202833"/>
                <w:sz w:val="20"/>
              </w:rPr>
              <w:t>法国</w:t>
            </w:r>
          </w:p>
        </w:tc>
        <w:tc>
          <w:tcPr>
            <w:tcW w:type="dxa" w:w="1994"/>
            <w:vAlign w:val="center"/>
          </w:tcPr>
          <w:p>
            <w:pPr>
              <w:jc w:val="center"/>
            </w:pPr>
            <w:r/>
            <w:r>
              <w:rPr>
                <w:rFonts w:ascii="微软雅黑" w:hAnsi="微软雅黑" w:eastAsia="微软雅黑"/>
                <w:b w:val="0"/>
                <w:i w:val="0"/>
                <w:color w:val="202833"/>
                <w:sz w:val="20"/>
              </w:rPr>
              <w:t>2.5亿美元 E轮，估值23亿美元</w:t>
            </w:r>
          </w:p>
        </w:tc>
        <w:tc>
          <w:tcPr>
            <w:tcW w:type="dxa" w:w="1994"/>
            <w:vAlign w:val="center"/>
          </w:tcPr>
          <w:p>
            <w:pPr>
              <w:jc w:val="center"/>
            </w:pPr>
            <w:r/>
            <w:r>
              <w:rPr>
                <w:rFonts w:ascii="微软雅黑" w:hAnsi="微软雅黑" w:eastAsia="微软雅黑"/>
                <w:b w:val="0"/>
                <w:i w:val="0"/>
                <w:color w:val="202833"/>
                <w:sz w:val="20"/>
              </w:rPr>
              <w:t>AI 商业规划与绩效管理，EQT 旗下 Scaleup Europe Fund 领投，ARR 破1亿美元</w:t>
            </w:r>
          </w:p>
        </w:tc>
      </w:tr>
      <w:tr>
        <w:tc>
          <w:tcPr>
            <w:tcW w:type="dxa" w:w="1994"/>
            <w:vAlign w:val="center"/>
            <w:shd w:val="clear" w:fill="EAF1FB"/>
          </w:tcPr>
          <w:p>
            <w:pPr>
              <w:jc w:val="center"/>
            </w:pPr>
            <w:r/>
            <w:r>
              <w:rPr>
                <w:rFonts w:ascii="微软雅黑" w:hAnsi="微软雅黑" w:eastAsia="微软雅黑"/>
                <w:b w:val="0"/>
                <w:i w:val="0"/>
                <w:color w:val="202833"/>
                <w:sz w:val="20"/>
              </w:rPr>
              <w:t>10-22</w:t>
            </w:r>
          </w:p>
        </w:tc>
        <w:tc>
          <w:tcPr>
            <w:tcW w:type="dxa" w:w="1994"/>
            <w:vAlign w:val="center"/>
            <w:shd w:val="clear" w:fill="EAF1FB"/>
          </w:tcPr>
          <w:p>
            <w:pPr>
              <w:jc w:val="center"/>
            </w:pPr>
            <w:r/>
            <w:r>
              <w:rPr>
                <w:rFonts w:ascii="微软雅黑" w:hAnsi="微软雅黑" w:eastAsia="微软雅黑"/>
                <w:b w:val="0"/>
                <w:i w:val="0"/>
                <w:color w:val="202833"/>
                <w:sz w:val="20"/>
              </w:rPr>
              <w:t>Firstwork</w:t>
            </w:r>
          </w:p>
        </w:tc>
        <w:tc>
          <w:tcPr>
            <w:tcW w:type="dxa" w:w="1994"/>
            <w:vAlign w:val="center"/>
            <w:shd w:val="clear" w:fill="EAF1FB"/>
          </w:tcPr>
          <w:p>
            <w:pPr>
              <w:jc w:val="center"/>
            </w:pPr>
            <w:r/>
            <w:r>
              <w:rPr>
                <w:rFonts w:ascii="微软雅黑" w:hAnsi="微软雅黑" w:eastAsia="微软雅黑"/>
                <w:b w:val="0"/>
                <w:i w:val="0"/>
                <w:color w:val="202833"/>
                <w:sz w:val="20"/>
              </w:rPr>
              <w:t>美国</w:t>
            </w:r>
          </w:p>
        </w:tc>
        <w:tc>
          <w:tcPr>
            <w:tcW w:type="dxa" w:w="1994"/>
            <w:vAlign w:val="center"/>
            <w:shd w:val="clear" w:fill="EAF1FB"/>
          </w:tcPr>
          <w:p>
            <w:pPr>
              <w:jc w:val="center"/>
            </w:pPr>
            <w:r/>
            <w:r>
              <w:rPr>
                <w:rFonts w:ascii="微软雅黑" w:hAnsi="微软雅黑" w:eastAsia="微软雅黑"/>
                <w:b w:val="0"/>
                <w:i w:val="0"/>
                <w:color w:val="202833"/>
                <w:sz w:val="20"/>
              </w:rPr>
              <w:t>1500万美元 A轮</w:t>
            </w:r>
          </w:p>
        </w:tc>
        <w:tc>
          <w:tcPr>
            <w:tcW w:type="dxa" w:w="1994"/>
            <w:vAlign w:val="center"/>
            <w:shd w:val="clear" w:fill="EAF1FB"/>
          </w:tcPr>
          <w:p>
            <w:pPr>
              <w:jc w:val="center"/>
            </w:pPr>
            <w:r/>
            <w:r>
              <w:rPr>
                <w:rFonts w:ascii="微软雅黑" w:hAnsi="微软雅黑" w:eastAsia="微软雅黑"/>
                <w:b w:val="0"/>
                <w:i w:val="0"/>
                <w:color w:val="202833"/>
                <w:sz w:val="20"/>
              </w:rPr>
              <w:t>一线员工运营应用型AI平台，Earlybird 领投，Deel Ventures、YC 跟投，累计融资2000万美元</w:t>
            </w:r>
          </w:p>
        </w:tc>
      </w:tr>
      <w:tr>
        <w:tc>
          <w:tcPr>
            <w:tcW w:type="dxa" w:w="1994"/>
            <w:vAlign w:val="center"/>
          </w:tcPr>
          <w:p>
            <w:pPr>
              <w:jc w:val="center"/>
            </w:pPr>
            <w:r/>
            <w:r>
              <w:rPr>
                <w:rFonts w:ascii="微软雅黑" w:hAnsi="微软雅黑" w:eastAsia="微软雅黑"/>
                <w:b w:val="0"/>
                <w:i w:val="0"/>
                <w:color w:val="202833"/>
                <w:sz w:val="20"/>
              </w:rPr>
              <w:t>10-21</w:t>
            </w:r>
          </w:p>
        </w:tc>
        <w:tc>
          <w:tcPr>
            <w:tcW w:type="dxa" w:w="1994"/>
            <w:vAlign w:val="center"/>
          </w:tcPr>
          <w:p>
            <w:pPr>
              <w:jc w:val="center"/>
            </w:pPr>
            <w:r/>
            <w:r>
              <w:rPr>
                <w:rFonts w:ascii="微软雅黑" w:hAnsi="微软雅黑" w:eastAsia="微软雅黑"/>
                <w:b w:val="0"/>
                <w:i w:val="0"/>
                <w:color w:val="202833"/>
                <w:sz w:val="20"/>
              </w:rPr>
              <w:t>Rosie</w:t>
            </w:r>
          </w:p>
        </w:tc>
        <w:tc>
          <w:tcPr>
            <w:tcW w:type="dxa" w:w="1994"/>
            <w:vAlign w:val="center"/>
          </w:tcPr>
          <w:p>
            <w:pPr>
              <w:jc w:val="center"/>
            </w:pPr>
            <w:r/>
            <w:r>
              <w:rPr>
                <w:rFonts w:ascii="微软雅黑" w:hAnsi="微软雅黑" w:eastAsia="微软雅黑"/>
                <w:b w:val="0"/>
                <w:i w:val="0"/>
                <w:color w:val="202833"/>
                <w:sz w:val="20"/>
              </w:rPr>
              <w:t>美国</w:t>
            </w:r>
          </w:p>
        </w:tc>
        <w:tc>
          <w:tcPr>
            <w:tcW w:type="dxa" w:w="1994"/>
            <w:vAlign w:val="center"/>
          </w:tcPr>
          <w:p>
            <w:pPr>
              <w:jc w:val="center"/>
            </w:pPr>
            <w:r/>
            <w:r>
              <w:rPr>
                <w:rFonts w:ascii="微软雅黑" w:hAnsi="微软雅黑" w:eastAsia="微软雅黑"/>
                <w:b w:val="0"/>
                <w:i w:val="0"/>
                <w:color w:val="202833"/>
                <w:sz w:val="20"/>
              </w:rPr>
              <w:t>700万美元</w:t>
            </w:r>
          </w:p>
        </w:tc>
        <w:tc>
          <w:tcPr>
            <w:tcW w:type="dxa" w:w="1994"/>
            <w:vAlign w:val="center"/>
          </w:tcPr>
          <w:p>
            <w:pPr>
              <w:jc w:val="center"/>
            </w:pPr>
            <w:r/>
            <w:r>
              <w:rPr>
                <w:rFonts w:ascii="微软雅黑" w:hAnsi="微软雅黑" w:eastAsia="微软雅黑"/>
                <w:b w:val="0"/>
                <w:i w:val="0"/>
                <w:color w:val="202833"/>
                <w:sz w:val="20"/>
              </w:rPr>
              <w:t>AI 驱动家庭照护会员制平台，Bling Capital、Reach Capital 领投</w:t>
            </w:r>
          </w:p>
        </w:tc>
      </w:tr>
      <w:tr>
        <w:tc>
          <w:tcPr>
            <w:tcW w:type="dxa" w:w="1994"/>
            <w:vAlign w:val="center"/>
            <w:shd w:val="clear" w:fill="EAF1FB"/>
          </w:tcPr>
          <w:p>
            <w:pPr>
              <w:jc w:val="center"/>
            </w:pPr>
            <w:r/>
            <w:r>
              <w:rPr>
                <w:rFonts w:ascii="微软雅黑" w:hAnsi="微软雅黑" w:eastAsia="微软雅黑"/>
                <w:b w:val="0"/>
                <w:i w:val="0"/>
                <w:color w:val="202833"/>
                <w:sz w:val="20"/>
              </w:rPr>
              <w:t>10-20</w:t>
            </w:r>
          </w:p>
        </w:tc>
        <w:tc>
          <w:tcPr>
            <w:tcW w:type="dxa" w:w="1994"/>
            <w:vAlign w:val="center"/>
            <w:shd w:val="clear" w:fill="EAF1FB"/>
          </w:tcPr>
          <w:p>
            <w:pPr>
              <w:jc w:val="center"/>
            </w:pPr>
            <w:r/>
            <w:r>
              <w:rPr>
                <w:rFonts w:ascii="微软雅黑" w:hAnsi="微软雅黑" w:eastAsia="微软雅黑"/>
                <w:b w:val="0"/>
                <w:i w:val="0"/>
                <w:color w:val="202833"/>
                <w:sz w:val="20"/>
              </w:rPr>
              <w:t>CoComply</w:t>
            </w:r>
          </w:p>
        </w:tc>
        <w:tc>
          <w:tcPr>
            <w:tcW w:type="dxa" w:w="1994"/>
            <w:vAlign w:val="center"/>
            <w:shd w:val="clear" w:fill="EAF1FB"/>
          </w:tcPr>
          <w:p>
            <w:pPr>
              <w:jc w:val="center"/>
            </w:pPr>
            <w:r/>
            <w:r>
              <w:rPr>
                <w:rFonts w:ascii="微软雅黑" w:hAnsi="微软雅黑" w:eastAsia="微软雅黑"/>
                <w:b w:val="0"/>
                <w:i w:val="0"/>
                <w:color w:val="202833"/>
                <w:sz w:val="20"/>
              </w:rPr>
              <w:t>英国</w:t>
            </w:r>
          </w:p>
        </w:tc>
        <w:tc>
          <w:tcPr>
            <w:tcW w:type="dxa" w:w="1994"/>
            <w:vAlign w:val="center"/>
            <w:shd w:val="clear" w:fill="EAF1FB"/>
          </w:tcPr>
          <w:p>
            <w:pPr>
              <w:jc w:val="center"/>
            </w:pPr>
            <w:r/>
            <w:r>
              <w:rPr>
                <w:rFonts w:ascii="微软雅黑" w:hAnsi="微软雅黑" w:eastAsia="微软雅黑"/>
                <w:b w:val="0"/>
                <w:i w:val="0"/>
                <w:color w:val="202833"/>
                <w:sz w:val="20"/>
              </w:rPr>
              <w:t>190万英镑</w:t>
            </w:r>
          </w:p>
        </w:tc>
        <w:tc>
          <w:tcPr>
            <w:tcW w:type="dxa" w:w="1994"/>
            <w:vAlign w:val="center"/>
            <w:shd w:val="clear" w:fill="EAF1FB"/>
          </w:tcPr>
          <w:p>
            <w:pPr>
              <w:jc w:val="center"/>
            </w:pPr>
            <w:r/>
            <w:r>
              <w:rPr>
                <w:rFonts w:ascii="微软雅黑" w:hAnsi="微软雅黑" w:eastAsia="微软雅黑"/>
                <w:b w:val="0"/>
                <w:i w:val="0"/>
                <w:color w:val="202833"/>
                <w:sz w:val="20"/>
              </w:rPr>
              <w:t>外部劳动力合规 RegTech，NPIF–Mercia Equity Finance 领投，针对 IR35 隐性用工风险</w:t>
            </w:r>
          </w:p>
        </w:tc>
      </w:tr>
      <w:tr>
        <w:tc>
          <w:tcPr>
            <w:tcW w:type="dxa" w:w="1994"/>
            <w:vAlign w:val="center"/>
          </w:tcPr>
          <w:p>
            <w:pPr>
              <w:jc w:val="center"/>
            </w:pPr>
            <w:r/>
            <w:r>
              <w:rPr>
                <w:rFonts w:ascii="微软雅黑" w:hAnsi="微软雅黑" w:eastAsia="微软雅黑"/>
                <w:b w:val="0"/>
                <w:i w:val="0"/>
                <w:color w:val="202833"/>
                <w:sz w:val="20"/>
              </w:rPr>
              <w:t>10-19</w:t>
            </w:r>
          </w:p>
        </w:tc>
        <w:tc>
          <w:tcPr>
            <w:tcW w:type="dxa" w:w="1994"/>
            <w:vAlign w:val="center"/>
          </w:tcPr>
          <w:p>
            <w:pPr>
              <w:jc w:val="center"/>
            </w:pPr>
            <w:r/>
            <w:r>
              <w:rPr>
                <w:rFonts w:ascii="微软雅黑" w:hAnsi="微软雅黑" w:eastAsia="微软雅黑"/>
                <w:b w:val="0"/>
                <w:i w:val="0"/>
                <w:color w:val="202833"/>
                <w:sz w:val="20"/>
              </w:rPr>
              <w:t>LearnUpon</w:t>
            </w:r>
          </w:p>
        </w:tc>
        <w:tc>
          <w:tcPr>
            <w:tcW w:type="dxa" w:w="1994"/>
            <w:vAlign w:val="center"/>
          </w:tcPr>
          <w:p>
            <w:pPr>
              <w:jc w:val="center"/>
            </w:pPr>
            <w:r/>
            <w:r>
              <w:rPr>
                <w:rFonts w:ascii="微软雅黑" w:hAnsi="微软雅黑" w:eastAsia="微软雅黑"/>
                <w:b w:val="0"/>
                <w:i w:val="0"/>
                <w:color w:val="202833"/>
                <w:sz w:val="20"/>
              </w:rPr>
              <w:t>美国</w:t>
            </w:r>
          </w:p>
        </w:tc>
        <w:tc>
          <w:tcPr>
            <w:tcW w:type="dxa" w:w="1994"/>
            <w:vAlign w:val="center"/>
          </w:tcPr>
          <w:p>
            <w:pPr>
              <w:jc w:val="center"/>
            </w:pPr>
            <w:r/>
            <w:r>
              <w:rPr>
                <w:rFonts w:ascii="微软雅黑" w:hAnsi="微软雅黑" w:eastAsia="微软雅黑"/>
                <w:b w:val="0"/>
                <w:i w:val="0"/>
                <w:color w:val="202833"/>
                <w:sz w:val="20"/>
              </w:rPr>
              <w:t>5000万美元增长融资</w:t>
            </w:r>
          </w:p>
        </w:tc>
        <w:tc>
          <w:tcPr>
            <w:tcW w:type="dxa" w:w="1994"/>
            <w:vAlign w:val="center"/>
          </w:tcPr>
          <w:p>
            <w:pPr>
              <w:jc w:val="center"/>
            </w:pPr>
            <w:r/>
            <w:r>
              <w:rPr>
                <w:rFonts w:ascii="微软雅黑" w:hAnsi="微软雅黑" w:eastAsia="微软雅黑"/>
                <w:b w:val="0"/>
                <w:i w:val="0"/>
                <w:color w:val="202833"/>
                <w:sz w:val="20"/>
              </w:rPr>
              <w:t>「代理式学习平台」，Claret Capital Partners，用于扩张与并购</w:t>
            </w:r>
          </w:p>
        </w:tc>
      </w:tr>
      <w:tr>
        <w:tc>
          <w:tcPr>
            <w:tcW w:type="dxa" w:w="1994"/>
            <w:vAlign w:val="center"/>
            <w:shd w:val="clear" w:fill="EAF1FB"/>
          </w:tcPr>
          <w:p>
            <w:pPr>
              <w:jc w:val="center"/>
            </w:pPr>
            <w:r/>
            <w:r>
              <w:rPr>
                <w:rFonts w:ascii="微软雅黑" w:hAnsi="微软雅黑" w:eastAsia="微软雅黑"/>
                <w:b w:val="0"/>
                <w:i w:val="0"/>
                <w:color w:val="202833"/>
                <w:sz w:val="20"/>
              </w:rPr>
              <w:t>10-16</w:t>
            </w:r>
          </w:p>
        </w:tc>
        <w:tc>
          <w:tcPr>
            <w:tcW w:type="dxa" w:w="1994"/>
            <w:vAlign w:val="center"/>
            <w:shd w:val="clear" w:fill="EAF1FB"/>
          </w:tcPr>
          <w:p>
            <w:pPr>
              <w:jc w:val="center"/>
            </w:pPr>
            <w:r/>
            <w:r>
              <w:rPr>
                <w:rFonts w:ascii="微软雅黑" w:hAnsi="微软雅黑" w:eastAsia="微软雅黑"/>
                <w:b w:val="0"/>
                <w:i w:val="0"/>
                <w:color w:val="202833"/>
                <w:sz w:val="20"/>
              </w:rPr>
              <w:t>Sharp Performance</w:t>
            </w:r>
          </w:p>
        </w:tc>
        <w:tc>
          <w:tcPr>
            <w:tcW w:type="dxa" w:w="1994"/>
            <w:vAlign w:val="center"/>
            <w:shd w:val="clear" w:fill="EAF1FB"/>
          </w:tcPr>
          <w:p>
            <w:pPr>
              <w:jc w:val="center"/>
            </w:pPr>
            <w:r/>
            <w:r>
              <w:rPr>
                <w:rFonts w:ascii="微软雅黑" w:hAnsi="微软雅黑" w:eastAsia="微软雅黑"/>
                <w:b w:val="0"/>
                <w:i w:val="0"/>
                <w:color w:val="202833"/>
                <w:sz w:val="20"/>
              </w:rPr>
              <w:t>美国</w:t>
            </w:r>
          </w:p>
        </w:tc>
        <w:tc>
          <w:tcPr>
            <w:tcW w:type="dxa" w:w="1994"/>
            <w:vAlign w:val="center"/>
            <w:shd w:val="clear" w:fill="EAF1FB"/>
          </w:tcPr>
          <w:p>
            <w:pPr>
              <w:jc w:val="center"/>
            </w:pPr>
            <w:r/>
            <w:r>
              <w:rPr>
                <w:rFonts w:ascii="微软雅黑" w:hAnsi="微软雅黑" w:eastAsia="微软雅黑"/>
                <w:b w:val="0"/>
                <w:i w:val="0"/>
                <w:color w:val="202833"/>
                <w:sz w:val="20"/>
              </w:rPr>
              <w:t>1800万美元 A轮</w:t>
            </w:r>
          </w:p>
        </w:tc>
        <w:tc>
          <w:tcPr>
            <w:tcW w:type="dxa" w:w="1994"/>
            <w:vAlign w:val="center"/>
            <w:shd w:val="clear" w:fill="EAF1FB"/>
          </w:tcPr>
          <w:p>
            <w:pPr>
              <w:jc w:val="center"/>
            </w:pPr>
            <w:r/>
            <w:r>
              <w:rPr>
                <w:rFonts w:ascii="微软雅黑" w:hAnsi="微软雅黑" w:eastAsia="微软雅黑"/>
                <w:b w:val="0"/>
                <w:i w:val="0"/>
                <w:color w:val="202833"/>
                <w:sz w:val="20"/>
              </w:rPr>
              <w:t>一线应急人员绩效辅导平台，全周期绩效体系</w:t>
            </w:r>
          </w:p>
        </w:tc>
      </w:tr>
    </w:tbl>
    <w:p>
      <w:pPr>
        <w:spacing w:after="40"/>
      </w:pPr>
    </w:p>
    <w:p>
      <w:pPr>
        <w:spacing w:after="60" w:line="312" w:lineRule="auto"/>
      </w:pPr>
      <w:r>
        <w:rPr>
          <w:rFonts w:ascii="微软雅黑" w:hAnsi="微软雅黑" w:eastAsia="微软雅黑"/>
          <w:b/>
          <w:i w:val="0"/>
          <w:color w:val="F57C00"/>
          <w:sz w:val="24"/>
        </w:rPr>
        <w:t>▍</w:t>
      </w:r>
      <w:r>
        <w:rPr>
          <w:rFonts w:ascii="微软雅黑" w:hAnsi="微软雅黑" w:eastAsia="微软雅黑"/>
          <w:b/>
          <w:i w:val="0"/>
          <w:color w:val="141A26"/>
          <w:sz w:val="24"/>
        </w:rPr>
        <w:t>巨头动作：Workday 收 C1.ai 做 AI 身份治理，SAP 收 TechWolf 做工作智能</w:t>
      </w:r>
    </w:p>
    <w:p>
      <w:pPr>
        <w:spacing w:after="140" w:before="0" w:line="312" w:lineRule="auto"/>
        <w:ind w:left="113"/>
      </w:pPr>
      <w:r>
        <w:rPr>
          <w:rFonts w:ascii="微软雅黑" w:hAnsi="微软雅黑" w:eastAsia="微软雅黑"/>
          <w:b w:val="0"/>
          <w:i w:val="0"/>
          <w:color w:val="202833"/>
          <w:sz w:val="22"/>
        </w:rPr>
        <w:t>10月13日，Workday 在 Workday Rising 2026 大会上宣布签署最终协议，收购人工智能身份与访问权限治理公司 C1.ai，把员工与 AI Agent 的身份管理、系统访问授权和权限审计整合进 Workday 平台。此前10月6日，SAP 宣布收购比利时 AI 公司 TechWolf，把其 Work Intelligence 技术、专有数据模型及 AI 研发能力纳入 SAP 产品体系，交易预计2026年第四季度完成。</w:t>
      </w:r>
    </w:p>
    <w:p>
      <w:pPr>
        <w:spacing w:after="140" w:before="0" w:line="312" w:lineRule="auto"/>
        <w:ind w:left="113"/>
      </w:pPr>
      <w:r>
        <w:rPr>
          <w:rFonts w:ascii="微软雅黑" w:hAnsi="微软雅黑" w:eastAsia="微软雅黑"/>
          <w:b w:val="0"/>
          <w:i w:val="0"/>
          <w:color w:val="202833"/>
          <w:sz w:val="22"/>
        </w:rPr>
        <w:t>两笔收购指向同一个判断：HR 系统的下一个入口不是「管人」，而是「管权限」和「管技能」。当企业里有大量 AI Agent 在替人执行任务时，「谁有权限让哪个 Agent 做什么」变成了 HR 系统必须回答的问题。这与国办29号文里「规范人工智能在人力资源管理领域应用」的条款，恰好是同一件事的两面——海外在抢工具，国内在定规则。</w:t>
      </w:r>
    </w:p>
    <w:p>
      <w:pPr>
        <w:spacing w:after="200" w:line="312" w:lineRule="auto"/>
        <w:ind w:left="113"/>
        <w:shd w:val="clear" w:fill="EAF1FB"/>
      </w:pPr>
      <w:r>
        <w:rPr>
          <w:rFonts w:ascii="微软雅黑" w:hAnsi="微软雅黑" w:eastAsia="微软雅黑"/>
          <w:b/>
          <w:i w:val="0"/>
          <w:color w:val="F57C00"/>
          <w:sz w:val="22"/>
        </w:rPr>
        <w:t>判断：</w:t>
      </w:r>
      <w:r>
        <w:rPr>
          <w:rFonts w:ascii="微软雅黑" w:hAnsi="微软雅黑" w:eastAsia="微软雅黑"/>
          <w:b w:val="0"/>
          <w:i w:val="0"/>
          <w:color w:val="202833"/>
          <w:sz w:val="22"/>
        </w:rPr>
        <w:t>资本在用钱投票：投「一线员工的运营效率」和「用工合规的确定性」，不投「更多的简历和更多的流量」。这条分界线，国内一级市场大概会滞后6—12个月跟上。</w:t>
      </w:r>
    </w:p>
    <w:p>
      <w:pPr>
        <w:spacing w:after="120" w:before="240" w:line="312" w:lineRule="auto"/>
        <w:shd w:val="clear" w:fill="EAF1FB"/>
      </w:pPr>
      <w:r>
        <w:rPr>
          <w:rFonts w:ascii="微软雅黑" w:hAnsi="微软雅黑" w:eastAsia="微软雅黑"/>
          <w:b/>
          <w:i w:val="0"/>
          <w:color w:val="1E4E9C"/>
          <w:sz w:val="30"/>
        </w:rPr>
        <w:t>◆ 重点事件深度解读</w:t>
      </w:r>
    </w:p>
    <w:p>
      <w:pPr>
        <w:spacing w:after="60" w:line="312" w:lineRule="auto"/>
      </w:pPr>
      <w:r>
        <w:rPr>
          <w:rFonts w:ascii="微软雅黑" w:hAnsi="微软雅黑" w:eastAsia="微软雅黑"/>
          <w:b/>
          <w:i w:val="0"/>
          <w:color w:val="F57C00"/>
          <w:sz w:val="24"/>
        </w:rPr>
        <w:t>▍</w:t>
      </w:r>
      <w:r>
        <w:rPr>
          <w:rFonts w:ascii="微软雅黑" w:hAnsi="微软雅黑" w:eastAsia="微软雅黑"/>
          <w:b/>
          <w:i w:val="0"/>
          <w:color w:val="141A26"/>
          <w:sz w:val="24"/>
        </w:rPr>
        <w:t>事件：国办29号文的成本会落在谁头上？——18项任务的成本传导路径拆解</w:t>
      </w:r>
    </w:p>
    <w:p>
      <w:pPr>
        <w:spacing w:after="140" w:before="0" w:line="312" w:lineRule="auto"/>
        <w:ind w:left="113"/>
      </w:pPr>
      <w:r>
        <w:rPr>
          <w:rFonts w:ascii="微软雅黑" w:hAnsi="微软雅黑" w:eastAsia="微软雅黑"/>
          <w:b w:val="0"/>
          <w:i w:val="0"/>
          <w:color w:val="202833"/>
          <w:sz w:val="22"/>
        </w:rPr>
        <w:t>把29号文当成一份「鼓励 AI」的文件读，会完全读错。它真正做的事情，是给 AI 的就业影响定价，并且指定了付账的人。</w:t>
      </w:r>
    </w:p>
    <w:p>
      <w:pPr>
        <w:spacing w:after="140" w:before="0" w:line="312" w:lineRule="auto"/>
        <w:ind w:left="113"/>
      </w:pPr>
      <w:r>
        <w:rPr>
          <w:rFonts w:ascii="微软雅黑" w:hAnsi="微软雅黑" w:eastAsia="微软雅黑"/>
          <w:b w:val="0"/>
          <w:i w:val="0"/>
          <w:color w:val="202833"/>
          <w:sz w:val="22"/>
        </w:rPr>
        <w:t>第一笔账在企业侧。「鼓励企业探索建立失业缓冲期制度，在大规模推广应用人工智能过程中提前告知受影响劳动者、提供转型转岗就业支持」——注意动词是「鼓励」不是「要求」，但一旦某个地区把它做成地方细则或国企考核指标，「鼓励」就会变成事实上的门槛。这会带来一个可预期的行为变化：企业在做 AI 替代方案时，必须同步准备一套人员转岗方案，转型成本进入项目预算。对 HR 部门而言，这是从「执行裁员」变成「设计过渡」的角色转变。</w:t>
      </w:r>
    </w:p>
    <w:p>
      <w:pPr>
        <w:spacing w:after="140" w:before="0" w:line="312" w:lineRule="auto"/>
        <w:ind w:left="113"/>
      </w:pPr>
      <w:r>
        <w:rPr>
          <w:rFonts w:ascii="微软雅黑" w:hAnsi="微软雅黑" w:eastAsia="微软雅黑"/>
          <w:b w:val="0"/>
          <w:i w:val="0"/>
          <w:color w:val="202833"/>
          <w:sz w:val="22"/>
        </w:rPr>
        <w:t>第二笔账在项目审批侧。「对市场准入领域可能造成较大就业冲击的人工智能应用场景项目，在评审时同步开展就业风险评估」——这条把就业影响嵌入了行政审批流程。影响是双向的：一方面提高了重度替代型 AI 项目的准入门槛；另一方面，能出具「就业友好」论证的项目会获得相对优势。这会催生一类新的服务需求：AI 项目的就业影响评估报告。这是一个目前几乎没有人做的市场。</w:t>
      </w:r>
    </w:p>
    <w:p>
      <w:pPr>
        <w:spacing w:after="140" w:before="0" w:line="312" w:lineRule="auto"/>
        <w:ind w:left="113"/>
      </w:pPr>
      <w:r>
        <w:rPr>
          <w:rFonts w:ascii="微软雅黑" w:hAnsi="微软雅黑" w:eastAsia="微软雅黑"/>
          <w:b w:val="0"/>
          <w:i w:val="0"/>
          <w:color w:val="202833"/>
          <w:sz w:val="22"/>
        </w:rPr>
        <w:t>第三笔账在平台与 HR 科技侧。「规范人工智能在人力资源管理领域应用，依法治理因滥用算法等造成的就业歧视、虚假招聘、侵犯隐私权休息权等违法违规行为」——这是把《新就业形态劳动者权益保障办法（征求意见稿）》里对「算法」的约束，从平台用工扩展到整个人力资源管理领域。AI 面试、简历筛选、绩效打分、离职预测，全部进入监管视野。</w:t>
      </w:r>
    </w:p>
    <w:p>
      <w:pPr>
        <w:spacing w:after="140" w:before="0" w:line="312" w:lineRule="auto"/>
        <w:ind w:left="113"/>
      </w:pPr>
      <w:r>
        <w:rPr>
          <w:rFonts w:ascii="微软雅黑" w:hAnsi="微软雅黑" w:eastAsia="微软雅黑"/>
          <w:b w:val="0"/>
          <w:i w:val="0"/>
          <w:color w:val="202833"/>
          <w:sz w:val="22"/>
        </w:rPr>
        <w:t>第四笔账，也是最少被讨论的一笔，在统计与监测侧。「加强人工智能相关产业、就业等数据跨部门共享，共建区域性、行业性就业数据智能监测分析模型」「开展人工智能应用就业影响专项调查」「布局一批人工智能就业研究中心」「将人工智能应用就业风险纳入规模性失业风险防范化解机制应对范围」。这意味着未来「AI 替代了多少岗位」会从媒体话题变成官方统计口径。一旦有了官方口径，企业的人力规划就要按这个口径来解释自己。</w:t>
      </w:r>
    </w:p>
    <w:p>
      <w:pPr>
        <w:spacing w:after="140" w:before="0" w:line="312" w:lineRule="auto"/>
        <w:ind w:left="113"/>
      </w:pPr>
      <w:r>
        <w:rPr>
          <w:rFonts w:ascii="微软雅黑" w:hAnsi="微软雅黑" w:eastAsia="微软雅黑"/>
          <w:b w:val="0"/>
          <w:i w:val="0"/>
          <w:color w:val="202833"/>
          <w:sz w:val="22"/>
        </w:rPr>
        <w:t>把四笔账合起来看，29号文的真实结构是：既然 AI 替代不可避免，那就把它变成一件「有流程、有评估、有缓冲、有记录」的事。对人力资源服务业的商业含义是清晰的——合规咨询、转岗培训、就业影响评估、AI 治理审计，这四个方向的预算会从2027年开始实质性出现。</w:t>
      </w:r>
    </w:p>
    <w:p>
      <w:pPr>
        <w:spacing w:after="60" w:line="312" w:lineRule="auto"/>
      </w:pPr>
      <w:r>
        <w:rPr>
          <w:rFonts w:ascii="微软雅黑" w:hAnsi="微软雅黑" w:eastAsia="微软雅黑"/>
          <w:b/>
          <w:i w:val="0"/>
          <w:color w:val="F57C00"/>
          <w:sz w:val="24"/>
        </w:rPr>
        <w:t>▍</w:t>
      </w:r>
      <w:r>
        <w:rPr>
          <w:rFonts w:ascii="微软雅黑" w:hAnsi="微软雅黑" w:eastAsia="微软雅黑"/>
          <w:b/>
          <w:i w:val="0"/>
          <w:color w:val="141A26"/>
          <w:sz w:val="24"/>
        </w:rPr>
        <w:t>事件：招聘市场的「K型分化」已经不只是薪酬问题</w:t>
      </w:r>
    </w:p>
    <w:p>
      <w:pPr>
        <w:spacing w:after="140" w:before="0" w:line="312" w:lineRule="auto"/>
        <w:ind w:left="113"/>
      </w:pPr>
      <w:r>
        <w:rPr>
          <w:rFonts w:ascii="微软雅黑" w:hAnsi="微软雅黑" w:eastAsia="微软雅黑"/>
          <w:b w:val="0"/>
          <w:i w:val="0"/>
          <w:color w:val="202833"/>
          <w:sz w:val="22"/>
        </w:rPr>
        <w:t>把本周三组数据放在一起，会看到一个比「AI 抢工作」更复杂的图景。</w:t>
      </w:r>
    </w:p>
    <w:p>
      <w:pPr>
        <w:spacing w:after="140" w:before="0" w:line="312" w:lineRule="auto"/>
        <w:ind w:left="113"/>
      </w:pPr>
      <w:r>
        <w:rPr>
          <w:rFonts w:ascii="微软雅黑" w:hAnsi="微软雅黑" w:eastAsia="微软雅黑"/>
          <w:b w:val="0"/>
          <w:i w:val="0"/>
          <w:color w:val="202833"/>
          <w:sz w:val="22"/>
        </w:rPr>
        <w:t>第一组：智联招聘的三季度数据——养老/看护职位数+43.9%登顶，AI 工程师起薪1.8万。增量岗位在低薪端，高薪岗位在存量端。</w:t>
      </w:r>
    </w:p>
    <w:p>
      <w:pPr>
        <w:spacing w:after="140" w:before="0" w:line="312" w:lineRule="auto"/>
        <w:ind w:left="113"/>
      </w:pPr>
      <w:r>
        <w:rPr>
          <w:rFonts w:ascii="微软雅黑" w:hAnsi="微软雅黑" w:eastAsia="微软雅黑"/>
          <w:b w:val="0"/>
          <w:i w:val="0"/>
          <w:color w:val="202833"/>
          <w:sz w:val="22"/>
        </w:rPr>
        <w:t>第二组：前程无忧的电商数据——客服、基础设计「量在价跌」，算法、跨境运营「量价齐升」。同一个行业内，两类岗位的曲线方向相反。</w:t>
      </w:r>
    </w:p>
    <w:p>
      <w:pPr>
        <w:spacing w:after="140" w:before="0" w:line="312" w:lineRule="auto"/>
        <w:ind w:left="113"/>
      </w:pPr>
      <w:r>
        <w:rPr>
          <w:rFonts w:ascii="微软雅黑" w:hAnsi="微软雅黑" w:eastAsia="微软雅黑"/>
          <w:b w:val="0"/>
          <w:i w:val="0"/>
          <w:color w:val="202833"/>
          <w:sz w:val="22"/>
        </w:rPr>
        <w:t>第三组：猎聘的芯片数据——新发职位+22.2%、平均年薪+8.8%，但能独立承担大算力芯片架构的人才「仅有数百人」，供需比1:10，高端人才占从业人员不足3%。</w:t>
      </w:r>
    </w:p>
    <w:p>
      <w:pPr>
        <w:spacing w:after="140" w:before="0" w:line="312" w:lineRule="auto"/>
        <w:ind w:left="113"/>
      </w:pPr>
      <w:r>
        <w:rPr>
          <w:rFonts w:ascii="微软雅黑" w:hAnsi="微软雅黑" w:eastAsia="微软雅黑"/>
          <w:b w:val="0"/>
          <w:i w:val="0"/>
          <w:color w:val="202833"/>
          <w:sz w:val="22"/>
        </w:rPr>
        <w:t>三组数据的共同点是：需求没有消失，需求在重新分配，而供给的调整速度远远跟不上。养老/看护缺人，但薪酬上不去（支付方是医保和家庭，不是企业）；芯片架构缺人，但培养周期以十年计（成长依赖完整流片项目）；电商客服过剩，但转成跨境运营需要「跨境+数据+内容+AI 工具」的复合能力。</w:t>
      </w:r>
    </w:p>
    <w:p>
      <w:pPr>
        <w:spacing w:after="140" w:line="312" w:lineRule="auto"/>
        <w:shd w:val="clear" w:fill="FFF4E6"/>
      </w:pPr>
      <w:r>
        <w:rPr>
          <w:rFonts w:ascii="微软雅黑" w:hAnsi="微软雅黑" w:eastAsia="微软雅黑"/>
          <w:b/>
          <w:i w:val="0"/>
          <w:color w:val="F57C00"/>
          <w:sz w:val="22"/>
        </w:rPr>
        <w:t>【重点】</w:t>
      </w:r>
      <w:r>
        <w:rPr>
          <w:rFonts w:ascii="微软雅黑" w:hAnsi="微软雅黑" w:eastAsia="微软雅黑"/>
          <w:b w:val="0"/>
          <w:i w:val="0"/>
          <w:color w:val="202833"/>
          <w:sz w:val="22"/>
        </w:rPr>
        <w:t xml:space="preserve">  </w:t>
      </w:r>
      <w:r>
        <w:rPr>
          <w:rFonts w:ascii="微软雅黑" w:hAnsi="微软雅黑" w:eastAsia="微软雅黑"/>
          <w:b w:val="0"/>
          <w:i w:val="0"/>
          <w:color w:val="202833"/>
          <w:sz w:val="22"/>
        </w:rPr>
        <w:t>意味着「培训」这件事的定价逻辑变了。过去培训卖的是「证书」，现在能卖的是「可验证的能力跃迁」。嵩明零工市场的 AI 漫剧班之所以能做到「结业即上岗」——8名学员现场签约——不是因为课程多好，而是因为企业先出了题（云南晶晴直接参与课程设计）。企业出题、机构施训、当场签约，这个闭环把培训的风险从学员身上转移到了产业链上。这可能是接下来两年职业教育最值得复制的模式。</w:t>
      </w:r>
    </w:p>
    <w:p>
      <w:pPr>
        <w:spacing w:after="200" w:line="312" w:lineRule="auto"/>
        <w:ind w:left="113"/>
        <w:shd w:val="clear" w:fill="EAF1FB"/>
      </w:pPr>
      <w:r>
        <w:rPr>
          <w:rFonts w:ascii="微软雅黑" w:hAnsi="微软雅黑" w:eastAsia="微软雅黑"/>
          <w:b/>
          <w:i w:val="0"/>
          <w:color w:val="F57C00"/>
          <w:sz w:val="22"/>
        </w:rPr>
        <w:t>判断：</w:t>
      </w:r>
      <w:r>
        <w:rPr>
          <w:rFonts w:ascii="微软雅黑" w:hAnsi="微软雅黑" w:eastAsia="微软雅黑"/>
          <w:b w:val="0"/>
          <w:i w:val="0"/>
          <w:color w:val="202833"/>
          <w:sz w:val="22"/>
        </w:rPr>
        <w:t>本周最重要的事件不是某家公司做了什么，而是国家第一次承认「AI 会造成失业，并且我们需要一套流程来处理它」。承认问题，永远是好生意的开始。</w:t>
      </w:r>
    </w:p>
    <w:p>
      <w:pPr>
        <w:spacing w:after="120" w:before="240" w:line="312" w:lineRule="auto"/>
        <w:shd w:val="clear" w:fill="EAF1FB"/>
      </w:pPr>
      <w:r>
        <w:rPr>
          <w:rFonts w:ascii="微软雅黑" w:hAnsi="微软雅黑" w:eastAsia="微软雅黑"/>
          <w:b/>
          <w:i w:val="0"/>
          <w:color w:val="1E4E9C"/>
          <w:sz w:val="30"/>
        </w:rPr>
        <w:t>◆ 趋势研判与风险提示</w:t>
      </w:r>
    </w:p>
    <w:p>
      <w:pPr>
        <w:spacing w:after="60" w:line="312" w:lineRule="auto"/>
      </w:pPr>
      <w:r>
        <w:rPr>
          <w:rFonts w:ascii="微软雅黑" w:hAnsi="微软雅黑" w:eastAsia="微软雅黑"/>
          <w:b/>
          <w:i w:val="0"/>
          <w:color w:val="F57C00"/>
          <w:sz w:val="24"/>
        </w:rPr>
        <w:t>▍</w:t>
      </w:r>
      <w:r>
        <w:rPr>
          <w:rFonts w:ascii="微软雅黑" w:hAnsi="微软雅黑" w:eastAsia="微软雅黑"/>
          <w:b/>
          <w:i w:val="0"/>
          <w:color w:val="141A26"/>
          <w:sz w:val="24"/>
        </w:rPr>
        <w:t>趋势一：合规能力将从「成本项」变成「准入项」</w:t>
      </w:r>
    </w:p>
    <w:p>
      <w:pPr>
        <w:spacing w:after="140" w:before="0" w:line="312" w:lineRule="auto"/>
        <w:ind w:left="113"/>
      </w:pPr>
      <w:r>
        <w:rPr>
          <w:rFonts w:ascii="微软雅黑" w:hAnsi="微软雅黑" w:eastAsia="微软雅黑"/>
          <w:b w:val="0"/>
          <w:i w:val="0"/>
          <w:color w:val="202833"/>
          <w:sz w:val="22"/>
        </w:rPr>
        <w:t>三条政策线在同一个季度交汇：《新就业形态劳动者权益保障办法（征求意见稿）》定用工形态与算法规则，7家平台医保倡议定社保接入，两个对外劳务条例进入修订定出海规则。三者的共同点是——都在提高「不合规经营」的生存成本。</w:t>
      </w:r>
    </w:p>
    <w:p>
      <w:pPr>
        <w:spacing w:after="140" w:before="0" w:line="312" w:lineRule="auto"/>
        <w:ind w:left="113"/>
      </w:pPr>
      <w:r>
        <w:rPr>
          <w:rFonts w:ascii="微软雅黑" w:hAnsi="微软雅黑" w:eastAsia="微软雅黑"/>
          <w:b w:val="0"/>
          <w:i w:val="0"/>
          <w:color w:val="202833"/>
          <w:sz w:val="22"/>
        </w:rPr>
        <w:t>对企业的具体影响是可测算的：灵活用工方案要能承载多险种；招聘服务要能证明机构资质（五部门提示已把「资质可查」做成公共入口）；出海用工要能提供符合新条例的合同与备案文件。这些能力此前是加分项，接下来是投标资格。</w:t>
      </w:r>
    </w:p>
    <w:p>
      <w:pPr>
        <w:spacing w:after="60" w:line="312" w:lineRule="auto"/>
      </w:pPr>
      <w:r>
        <w:rPr>
          <w:rFonts w:ascii="微软雅黑" w:hAnsi="微软雅黑" w:eastAsia="微软雅黑"/>
          <w:b/>
          <w:i w:val="0"/>
          <w:color w:val="F57C00"/>
          <w:sz w:val="24"/>
        </w:rPr>
        <w:t>▍</w:t>
      </w:r>
      <w:r>
        <w:rPr>
          <w:rFonts w:ascii="微软雅黑" w:hAnsi="微软雅黑" w:eastAsia="微软雅黑"/>
          <w:b/>
          <w:i w:val="0"/>
          <w:color w:val="141A26"/>
          <w:sz w:val="24"/>
        </w:rPr>
        <w:t>趋势二：人力服务的计价单位从「人头」转向「结果」</w:t>
      </w:r>
    </w:p>
    <w:p>
      <w:pPr>
        <w:spacing w:after="140" w:before="0" w:line="312" w:lineRule="auto"/>
        <w:ind w:left="113"/>
      </w:pPr>
      <w:r>
        <w:rPr>
          <w:rFonts w:ascii="微软雅黑" w:hAnsi="微软雅黑" w:eastAsia="微软雅黑"/>
          <w:b w:val="0"/>
          <w:i w:val="0"/>
          <w:color w:val="202833"/>
          <w:sz w:val="22"/>
        </w:rPr>
        <w:t>Workday 把 AI Agent 接进招聘、薪资和员工服务（已有超5500家客户使用其自研AI代理）；Pigment 用 AI 做规划与绩效管理拿到23亿美元估值；LearnUpon 用「代理式学习」拿5000万美元。海外资本的共识是：客户不再愿意为「流程」付费，只愿意为「结果」付费。</w:t>
      </w:r>
    </w:p>
    <w:p>
      <w:pPr>
        <w:spacing w:after="140" w:before="0" w:line="312" w:lineRule="auto"/>
        <w:ind w:left="113"/>
      </w:pPr>
      <w:r>
        <w:rPr>
          <w:rFonts w:ascii="微软雅黑" w:hAnsi="微软雅黑" w:eastAsia="微软雅黑"/>
          <w:b w:val="0"/>
          <w:i w:val="0"/>
          <w:color w:val="202833"/>
          <w:sz w:val="22"/>
        </w:rPr>
        <w:t>国内对应的信号是招聘平台的动作——从「流量撮合」转向「结果交付」。这个转向对人力资源服务商的含义是：按人头收费的 RPO、劳务派遣、灵活用工结算，毛利会持续被压缩；能承诺「到岗率」「留存率」「上岗周期」的服务商，才有定价权。</w:t>
      </w:r>
    </w:p>
    <w:p>
      <w:pPr>
        <w:spacing w:after="60" w:line="312" w:lineRule="auto"/>
      </w:pPr>
      <w:r>
        <w:rPr>
          <w:rFonts w:ascii="微软雅黑" w:hAnsi="微软雅黑" w:eastAsia="微软雅黑"/>
          <w:b/>
          <w:i w:val="0"/>
          <w:color w:val="F57C00"/>
          <w:sz w:val="24"/>
        </w:rPr>
        <w:t>▍</w:t>
      </w:r>
      <w:r>
        <w:rPr>
          <w:rFonts w:ascii="微软雅黑" w:hAnsi="微软雅黑" w:eastAsia="微软雅黑"/>
          <w:b/>
          <w:i w:val="0"/>
          <w:color w:val="141A26"/>
          <w:sz w:val="24"/>
        </w:rPr>
        <w:t>趋势三：出海用工的制度红利与制度成本同时到来</w:t>
      </w:r>
    </w:p>
    <w:p>
      <w:pPr>
        <w:spacing w:after="140" w:before="0" w:line="312" w:lineRule="auto"/>
        <w:ind w:left="113"/>
      </w:pPr>
      <w:r>
        <w:rPr>
          <w:rFonts w:ascii="微软雅黑" w:hAnsi="微软雅黑" w:eastAsia="微软雅黑"/>
          <w:b w:val="0"/>
          <w:i w:val="0"/>
          <w:color w:val="202833"/>
          <w:sz w:val="22"/>
        </w:rPr>
        <w:t>红利侧：对外投资主体扩容到居民个人，前9个月对外直接投资1286.2亿美元保持平稳，绿色低碳与数字产业对外投资增速超20%，90多个双边投资合作工作组提供机制保障。成本侧：两个条例修订将重置行业门槛，境外风险信息发布量已达9000余条/年量级，重大不利情况报告与年度报告制度成为硬义务。</w:t>
      </w:r>
    </w:p>
    <w:p>
      <w:pPr>
        <w:spacing w:after="140" w:before="0" w:line="312" w:lineRule="auto"/>
        <w:ind w:left="113"/>
      </w:pPr>
      <w:r>
        <w:rPr>
          <w:rFonts w:ascii="微软雅黑" w:hAnsi="微软雅黑" w:eastAsia="微软雅黑"/>
          <w:b w:val="0"/>
          <w:i w:val="0"/>
          <w:color w:val="202833"/>
          <w:sz w:val="22"/>
        </w:rPr>
        <w:t>对劳务输出机构的判断：未来两年是「合规换市场」的窗口期。能提前把合同体系、备用金安排、境外管理责任、突发事件预案做扎实的机构，会在门槛重置后拿到被清退者留下的份额。</w:t>
      </w:r>
    </w:p>
    <w:p>
      <w:pPr>
        <w:spacing w:after="60" w:line="312" w:lineRule="auto"/>
      </w:pPr>
      <w:r>
        <w:rPr>
          <w:rFonts w:ascii="微软雅黑" w:hAnsi="微软雅黑" w:eastAsia="微软雅黑"/>
          <w:b/>
          <w:i w:val="0"/>
          <w:color w:val="F57C00"/>
          <w:sz w:val="24"/>
        </w:rPr>
        <w:t>▍</w:t>
      </w:r>
      <w:r>
        <w:rPr>
          <w:rFonts w:ascii="微软雅黑" w:hAnsi="微软雅黑" w:eastAsia="微软雅黑"/>
          <w:b/>
          <w:i w:val="0"/>
          <w:color w:val="141A26"/>
          <w:sz w:val="24"/>
        </w:rPr>
        <w:t>⚠ 风险提示一：AI 治理合规风险已经具体化</w:t>
      </w:r>
    </w:p>
    <w:p>
      <w:pPr>
        <w:spacing w:after="140" w:before="0" w:line="312" w:lineRule="auto"/>
        <w:ind w:left="113"/>
      </w:pPr>
      <w:r>
        <w:rPr>
          <w:rFonts w:ascii="微软雅黑" w:hAnsi="微软雅黑" w:eastAsia="微软雅黑"/>
          <w:b w:val="0"/>
          <w:i w:val="0"/>
          <w:color w:val="202833"/>
          <w:sz w:val="22"/>
        </w:rPr>
        <w:t>29号文明确要治理「因滥用算法造成的就业歧视、虚假招聘、侵犯隐私权休息权」。这意味着 AI 面试的评分逻辑、简历筛选的排除规则、排班算法的强度设定，都可能成为被审查对象。使用第三方 AI 招聘产品的企业，需要开始要求供应商提供算法说明与合规证明——否则风险留在用人企业一侧。</w:t>
      </w:r>
    </w:p>
    <w:p>
      <w:pPr>
        <w:spacing w:after="60" w:line="312" w:lineRule="auto"/>
      </w:pPr>
      <w:r>
        <w:rPr>
          <w:rFonts w:ascii="微软雅黑" w:hAnsi="微软雅黑" w:eastAsia="微软雅黑"/>
          <w:b/>
          <w:i w:val="0"/>
          <w:color w:val="F57C00"/>
          <w:sz w:val="24"/>
        </w:rPr>
        <w:t>▍</w:t>
      </w:r>
      <w:r>
        <w:rPr>
          <w:rFonts w:ascii="微软雅黑" w:hAnsi="微软雅黑" w:eastAsia="微软雅黑"/>
          <w:b/>
          <w:i w:val="0"/>
          <w:color w:val="141A26"/>
          <w:sz w:val="24"/>
        </w:rPr>
        <w:t>⚠ 风险提示二：灵活用工的社保成本将出现一次性抬升</w:t>
      </w:r>
    </w:p>
    <w:p>
      <w:pPr>
        <w:spacing w:after="140" w:before="0" w:line="312" w:lineRule="auto"/>
        <w:ind w:left="113"/>
      </w:pPr>
      <w:r>
        <w:rPr>
          <w:rFonts w:ascii="微软雅黑" w:hAnsi="微软雅黑" w:eastAsia="微软雅黑"/>
          <w:b w:val="0"/>
          <w:i w:val="0"/>
          <w:color w:val="202833"/>
          <w:sz w:val="22"/>
        </w:rPr>
        <w:t>医保倡议+职业伤害保障扩面+养老参保鼓励，三项叠加。行业此前普遍以单险种方案控成本，全面参保后单位成本会明显上升。需要警惕的是「成本转移」带来的次生风险：把成本转嫁给劳动者（降低单价）会直接触发劳动监察；转嫁给客户（提高服务费）会考验客户粘性。建议提前做成本测算与合同条款重谈。</w:t>
      </w:r>
    </w:p>
    <w:p>
      <w:pPr>
        <w:spacing w:after="60" w:line="312" w:lineRule="auto"/>
      </w:pPr>
      <w:r>
        <w:rPr>
          <w:rFonts w:ascii="微软雅黑" w:hAnsi="微软雅黑" w:eastAsia="微软雅黑"/>
          <w:b/>
          <w:i w:val="0"/>
          <w:color w:val="F57C00"/>
          <w:sz w:val="24"/>
        </w:rPr>
        <w:t>▍</w:t>
      </w:r>
      <w:r>
        <w:rPr>
          <w:rFonts w:ascii="微软雅黑" w:hAnsi="微软雅黑" w:eastAsia="微软雅黑"/>
          <w:b/>
          <w:i w:val="0"/>
          <w:color w:val="141A26"/>
          <w:sz w:val="24"/>
        </w:rPr>
        <w:t>⚠ 风险提示三：求职诈骗与招聘黑产进入「AI 加持」阶段</w:t>
      </w:r>
    </w:p>
    <w:p>
      <w:pPr>
        <w:spacing w:after="140" w:before="0" w:line="312" w:lineRule="auto"/>
        <w:ind w:left="113"/>
      </w:pPr>
      <w:r>
        <w:rPr>
          <w:rFonts w:ascii="微软雅黑" w:hAnsi="微软雅黑" w:eastAsia="微软雅黑"/>
          <w:b w:val="0"/>
          <w:i w:val="0"/>
          <w:color w:val="202833"/>
          <w:sz w:val="22"/>
        </w:rPr>
        <w:t>五部门提示的「央国企内推」骗局与前程无忧披露的电商招聘黑产，作案手法已高度成熟：公域引流、私域转化、伪造材料、一单一结。AI 让伪造劳动合同、编造成功案例、批量生成虚假 JD 的成本降到接近于零。平台侧的风控投入会成为刚性成本，中小平台可能承担不起——这也是行业集中的又一个推力。</w:t>
      </w:r>
    </w:p>
    <w:p>
      <w:pPr>
        <w:spacing w:after="60" w:line="312" w:lineRule="auto"/>
      </w:pPr>
      <w:r>
        <w:rPr>
          <w:rFonts w:ascii="微软雅黑" w:hAnsi="微软雅黑" w:eastAsia="微软雅黑"/>
          <w:b/>
          <w:i w:val="0"/>
          <w:color w:val="F57C00"/>
          <w:sz w:val="24"/>
        </w:rPr>
        <w:t>▍</w:t>
      </w:r>
      <w:r>
        <w:rPr>
          <w:rFonts w:ascii="微软雅黑" w:hAnsi="微软雅黑" w:eastAsia="微软雅黑"/>
          <w:b/>
          <w:i w:val="0"/>
          <w:color w:val="141A26"/>
          <w:sz w:val="24"/>
        </w:rPr>
        <w:t>⚠ 风险提示四：二级市场估值与一级市场热度背离的修正风险</w:t>
      </w:r>
    </w:p>
    <w:p>
      <w:pPr>
        <w:spacing w:after="140" w:before="0" w:line="312" w:lineRule="auto"/>
        <w:ind w:left="113"/>
      </w:pPr>
      <w:r>
        <w:rPr>
          <w:rFonts w:ascii="微软雅黑" w:hAnsi="微软雅黑" w:eastAsia="微软雅黑"/>
          <w:b w:val="0"/>
          <w:i w:val="0"/>
          <w:color w:val="202833"/>
          <w:sz w:val="22"/>
        </w:rPr>
        <w:t>全球 HR 科技 TOP10 单月缩水8.0%、中国 TOP10 缩水10.7%，而一级市场一周内连出6笔融资。这种背离不会长期持续。若2027年上半年 AI 在 HR 场景的商业化数据（而非叙事）不能兑现，一级市场的估值将面临一轮系统性下修。对投资机构的建议是：把「AI 使用率」换成「AI 带来的单位人力成本下降幅度」作为核心指标。</w:t>
      </w:r>
    </w:p>
    <w:p>
      <w:pPr>
        <w:spacing w:after="200" w:line="312" w:lineRule="auto"/>
        <w:ind w:left="113"/>
        <w:shd w:val="clear" w:fill="EAF1FB"/>
      </w:pPr>
      <w:r>
        <w:rPr>
          <w:rFonts w:ascii="微软雅黑" w:hAnsi="微软雅黑" w:eastAsia="微软雅黑"/>
          <w:b/>
          <w:i w:val="0"/>
          <w:color w:val="F57C00"/>
          <w:sz w:val="22"/>
        </w:rPr>
        <w:t>判断：</w:t>
      </w:r>
      <w:r>
        <w:rPr>
          <w:rFonts w:ascii="微软雅黑" w:hAnsi="微软雅黑" w:eastAsia="微软雅黑"/>
          <w:b w:val="0"/>
          <w:i w:val="0"/>
          <w:color w:val="202833"/>
          <w:sz w:val="22"/>
        </w:rPr>
        <w:t>如果只能给一条建议：把2027年的预算，从「买工具」挪一部分到「做合规」和「做转岗」。前者决定效率，后者决定你能不能继续开门。</w:t>
      </w:r>
    </w:p>
    <w:p>
      <w:pPr>
        <w:spacing w:after="40"/>
      </w:pPr>
    </w:p>
    <w:p>
      <w:pPr>
        <w:spacing w:after="0" w:line="312" w:lineRule="auto"/>
        <w:shd w:val="clear" w:fill="D62B1F"/>
      </w:pPr>
      <w:r>
        <w:rPr>
          <w:rFonts w:ascii="微软雅黑" w:hAnsi="微软雅黑" w:eastAsia="微软雅黑"/>
          <w:b/>
          <w:i w:val="0"/>
          <w:color w:val="FFFFFF"/>
          <w:sz w:val="23"/>
        </w:rPr>
        <w:t>一句话判断：</w:t>
      </w:r>
    </w:p>
    <w:p>
      <w:pPr>
        <w:spacing w:after="200" w:line="312" w:lineRule="auto"/>
        <w:shd w:val="clear" w:fill="FDEAEA"/>
      </w:pPr>
      <w:r>
        <w:rPr>
          <w:rFonts w:ascii="微软雅黑" w:hAnsi="微软雅黑" w:eastAsia="微软雅黑"/>
          <w:b/>
          <w:i w:val="0"/>
          <w:color w:val="D62B1F"/>
          <w:sz w:val="23"/>
        </w:rPr>
        <w:t>国办29号文把 AI 与就业的关系从「担忧」变成「流程」。流程意味着成本、意味着门槛、也意味着新的生意。人力资源行业下一轮的分化，不发生在「谁更懂招聘」，而发生在「谁更懂在规则里挣钱」。</w:t>
      </w:r>
    </w:p>
    <w:p>
      <w:pPr>
        <w:spacing w:after="40" w:before="0" w:line="312" w:lineRule="auto"/>
        <w:jc w:val="center"/>
      </w:pPr>
      <w:r>
        <w:rPr>
          <w:rFonts w:ascii="微软雅黑" w:hAnsi="微软雅黑" w:eastAsia="微软雅黑"/>
          <w:b w:val="0"/>
          <w:i w:val="0"/>
          <w:color w:val="5C6B7A"/>
          <w:sz w:val="17"/>
        </w:rPr>
        <w:t>—— 本报告由AI自动抓取生成，数据来源为公开信息，仅供参考，不构成任何投资建议 ——</w:t>
      </w:r>
    </w:p>
    <w:p>
      <w:pPr>
        <w:spacing w:after="120" w:before="0" w:line="312" w:lineRule="auto"/>
        <w:jc w:val="center"/>
      </w:pPr>
      <w:r>
        <w:rPr>
          <w:rFonts w:ascii="微软雅黑" w:hAnsi="微软雅黑" w:eastAsia="微软雅黑"/>
          <w:b w:val="0"/>
          <w:i w:val="0"/>
          <w:color w:val="5C6B7A"/>
          <w:sz w:val="17"/>
        </w:rPr>
        <w:t>生成时间：2026-10-24 07:00</w:t>
      </w:r>
    </w:p>
    <w:sectPr w:rsidR="00FC693F" w:rsidRPr="0006063C" w:rsidSect="00034616">
      <w:pgSz w:w="12240" w:h="15840"/>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