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报告周期：2026年10月18日 — 10月25日（滚动一周）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国办29号文公开后的第一周，行业讨论的重心已经从「AI会不会抢饭碗」，转向「谁来为岗位的重新分工付账」。这一周出现了三条可核验的实证线索：银行秋招用35元/次的AI面试替代5500元/天的线下面试官，把「替代」精确到初筛这一个环节；AI人才大赛上企业当场给在校生开出18万至40万年薪，把「溢价」精确到能交付结果的人；蔡昉则在10月24日给出宏观判断——AI的就业冲击尚未反映在数据上，现在正处在一个「短暂的安静期」。三条线索拼在一起，指向同一件事：AI替代的从来不是「人」，而是岗位中的一个环节；被替代的环节迅速贬值，剩下的环节迅速升值。</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国办29号文（国办发〔2026〕29号）10月23日全文公开，6方面18项任务，首提「失业缓冲期制度」「AI应用就业风险评估」「规范AI在人力资源管理领域应用」</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蔡昉10月24日在外滩年会判断：AI就业冲击尚未反映在宏观数据，当前是难得的「提前准备窗口期」，主张纳入「投资于人」整体战略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银行秋招AI面试规模化：四大行2026校招约6.4万个岗位同比缩减7000余个，AI面试成本35元/人，线下面试官5500元/天</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智联招聘Q3：养老/看护职位数同比+43.9%居首，应届AI工程师+36.9%、平均月薪17775元；临床研究/试验需供比达4.59</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猎聘：1—9月芯片新发职位+22.2%，Chiplet岗位+211.2%年薪64.95万，AI芯片架构师年包最高180万、供需比1:10</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七平台（美团、淘宝闪购、顺丰同城、中通、曹操、T3、滴滴）10月22日联合倡议新就业形态人员参保医保，探索「个人缴费+平台补贴」</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《对外投资管理办法》12月1日施行，投资主体扩至居民个人，保护对象从「资产安全」升级为「权益完整性」</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全球HR科技一周内7笔融资（Pigment 2.5亿美元E轮领衔），与二级市场TOP10市值缩水8.0%形成背离</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国办29号文进入执行观察期：18项任务，四笔「可计价的账」</w:t>
      </w:r>
    </w:p>
    <w:p>
      <w:pPr>
        <w:spacing w:after="140" w:before="0" w:line="312" w:lineRule="auto"/>
        <w:ind w:left="113"/>
      </w:pPr>
      <w:r>
        <w:rPr>
          <w:rFonts w:ascii="微软雅黑" w:hAnsi="微软雅黑" w:eastAsia="微软雅黑"/>
          <w:b w:val="0"/>
          <w:i w:val="0"/>
          <w:color w:val="202833"/>
          <w:sz w:val="22"/>
        </w:rPr>
        <w:t>国务院办公厅《关于适应人工智能技术发展助力构建就业友好型发展方式的意见》（国办发〔2026〕29号）10月16日成文、10月22日由人社部转发、10月23日全文公开。文件分八部分，第二至第七部分为6个方面18项主要任务，逻辑链条是「创造—减震—赋能—服务—保障—监测」，构成一套完整的就业冲击管理框架。</w:t>
      </w:r>
    </w:p>
    <w:p>
      <w:pPr>
        <w:spacing w:after="140" w:before="0" w:line="312" w:lineRule="auto"/>
        <w:ind w:left="113"/>
      </w:pPr>
      <w:r>
        <w:rPr>
          <w:rFonts w:ascii="微软雅黑" w:hAnsi="微软雅黑" w:eastAsia="微软雅黑"/>
          <w:b w:val="0"/>
          <w:i w:val="0"/>
          <w:color w:val="202833"/>
          <w:sz w:val="22"/>
        </w:rPr>
        <w:t>对人力资源行业而言，真正需要逐字读的是四处新增表述：一是「鼓励企业探索建立失业缓冲期制度，在大规模推广应用人工智能过程中提前告知受影响劳动者、提供转型转岗就业支持」，把AI替代的成本部分前置到企业侧；二是「对市场准入领域可能造成较大就业冲击的人工智能应用场景项目，在评审时同步开展就业风险评估」，AI项目审批将与就业影响挂钩；三是「规范人工智能在人力资源管理领域应用，依法治理因滥用算法等造成的就业歧视、虚假招聘、侵犯隐私权休息权等违法违规行为」，HR SaaS、招聘平台、AI面试产品的合规红线第一次被写进国务院文件；四是「实施人工智能专项培训计划」，并明确要扩大人工智能训练师、数字化管理师、人工智能工程技术人员等新职业新工种需求。</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四条合起来，等于给行业划出了三条新的成本线：企业侧的转岗与缓冲成本、项目侧的评估与合规成本、平台侧的数据与算法治理成本。它们都不是一次性的，而是逐年计入运营的经常性支出。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蔡昉：AI就业冲击尚不明显，现在是「罕见的安静期」</w:t>
      </w:r>
    </w:p>
    <w:p>
      <w:pPr>
        <w:spacing w:after="140" w:before="0" w:line="312" w:lineRule="auto"/>
        <w:ind w:left="113"/>
      </w:pPr>
      <w:r>
        <w:rPr>
          <w:rFonts w:ascii="微软雅黑" w:hAnsi="微软雅黑" w:eastAsia="微软雅黑"/>
          <w:b w:val="0"/>
          <w:i w:val="0"/>
          <w:color w:val="202833"/>
          <w:sz w:val="22"/>
        </w:rPr>
        <w:t>10月24日，中国社科院学部委员蔡昉在2026外滩年会上给出一个与市场情绪相反的判断：包括中国在内的全球范围内，AI的就业冲击尚未反映在宏观数据上，但招聘数据和微观环节已现端倪。他把当下称为「一个短暂的安静期」，认为这给了政策与企业难得的提前准备机会。</w:t>
      </w:r>
    </w:p>
    <w:p>
      <w:pPr>
        <w:spacing w:after="140" w:before="0" w:line="312" w:lineRule="auto"/>
        <w:ind w:left="113"/>
      </w:pPr>
      <w:r>
        <w:rPr>
          <w:rFonts w:ascii="微软雅黑" w:hAnsi="微软雅黑" w:eastAsia="微软雅黑"/>
          <w:b w:val="0"/>
          <w:i w:val="0"/>
          <w:color w:val="202833"/>
          <w:sz w:val="22"/>
        </w:rPr>
        <w:t>他提出三个层次的观察：生产率提升在不同产业、部门、企业、工序之间高度不均衡；AI对劳动生产率的提升遵循「J字形」规律，而劳动替代往往发生在生产率抬升之前，也就是J字形左侧那条「短腿」上；技术本身无法解决负面的社会经济影响，必须依靠政府干预与制度建设的协调。据此他给出四条政策建议：促进「AI平权」，优先破解「一老一小」的结构性就业矛盾（青年入门级技能贬值、大龄劳动者科技鸿沟扩大）；引导「AI对齐」，让AI成为劳动者能力的增强器而非岗位的破坏者；产业政策超前培育需求弹性大但当前劳动生产率低的服务业，让岗位创造与个体劳动生产率适度「脱钩」，形成缓冲器；劳动力市场制度必须与新就业形态衔接，社会保障走向普惠化。</w:t>
      </w:r>
    </w:p>
    <w:p>
      <w:pPr>
        <w:spacing w:after="140" w:before="0" w:line="312" w:lineRule="auto"/>
        <w:ind w:left="113"/>
      </w:pPr>
      <w:r>
        <w:rPr>
          <w:rFonts w:ascii="微软雅黑" w:hAnsi="微软雅黑" w:eastAsia="微软雅黑"/>
          <w:b w:val="0"/>
          <w:i w:val="0"/>
          <w:color w:val="202833"/>
          <w:sz w:val="22"/>
        </w:rPr>
        <w:t>蔡昉的落点是「投资于人」。这与29号文「提升劳动者数字素养和就业能力」的表述同构——政策语言已经完成从「保岗位」到「保能力」的切换，而能力建设的付费方尚未明确。</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观点对撞：「减法裁员」还是「加法创造」</w:t>
      </w:r>
    </w:p>
    <w:p>
      <w:pPr>
        <w:spacing w:after="140" w:before="0" w:line="312" w:lineRule="auto"/>
        <w:ind w:left="113"/>
      </w:pPr>
      <w:r>
        <w:rPr>
          <w:rFonts w:ascii="微软雅黑" w:hAnsi="微软雅黑" w:eastAsia="微软雅黑"/>
          <w:b w:val="0"/>
          <w:i w:val="0"/>
          <w:color w:val="202833"/>
          <w:sz w:val="22"/>
        </w:rPr>
        <w:t>10月24日媒体评论《AI时代，就业友好型发展要跳出「替代思维」》提出了一个可供企业直接引用的原则：企业替代一个旧岗位，就要同步升级、创造一个新岗位；行业淘汰传统业态，就要同步催生新型就业业态。文章给出的落地路径是「提效不减人、提质缩工时」——用AI替代冗余劳动、提升产能，但不简单减聘，把效率红利转化为缩短单人劳动时长、优化劳动强度、均衡岗位负荷。</w:t>
      </w:r>
    </w:p>
    <w:p>
      <w:pPr>
        <w:spacing w:after="140" w:before="0" w:line="312" w:lineRule="auto"/>
        <w:ind w:left="113"/>
      </w:pPr>
      <w:r>
        <w:rPr>
          <w:rFonts w:ascii="微软雅黑" w:hAnsi="微软雅黑" w:eastAsia="微软雅黑"/>
          <w:b w:val="0"/>
          <w:i w:val="0"/>
          <w:color w:val="202833"/>
          <w:sz w:val="22"/>
        </w:rPr>
        <w:t>文章举的例子值得HR记住：多个景区在无人机、机器狗完全可替代人力负重的情况下，仍适度保留挑山工岗位，原因是这是当地中老年劳动者最核心甚至唯一的收入来源。这个案例说明，「是否替代」在技术上是效率问题，在治理上是分配问题。文章同时点出一个现实：不少劳动仲裁案例中，即便裁定保障了劳动者权益，结局仍是企业赔付后完成裁员，劳动者缺少转型缓冲空间。</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国常会年内第四次部署服务业，就业「蓄水池」被再次加压</w:t>
      </w:r>
    </w:p>
    <w:p>
      <w:pPr>
        <w:spacing w:after="140" w:before="0" w:line="312" w:lineRule="auto"/>
        <w:ind w:left="113"/>
      </w:pPr>
      <w:r>
        <w:rPr>
          <w:rFonts w:ascii="微软雅黑" w:hAnsi="微软雅黑" w:eastAsia="微软雅黑"/>
          <w:b w:val="0"/>
          <w:i w:val="0"/>
          <w:color w:val="202833"/>
          <w:sz w:val="22"/>
        </w:rPr>
        <w:t>10月23日国务院常务会议听取推进全国服务业大会部署落实情况汇报，要求加力推进服务业扩能提质，聚焦生产生活重点领域因业施策，加强融资、用地、人才、数据等支持，并明确「加快构建与新业态发展相适应的监管方式」「健全适应服务业发展的统计监测体系」。这是国常会年内至少第四次部署服务业。</w:t>
      </w:r>
    </w:p>
    <w:p>
      <w:pPr>
        <w:spacing w:after="140" w:before="0" w:line="312" w:lineRule="auto"/>
        <w:ind w:left="113"/>
      </w:pPr>
      <w:r>
        <w:rPr>
          <w:rFonts w:ascii="微软雅黑" w:hAnsi="微软雅黑" w:eastAsia="微软雅黑"/>
          <w:b w:val="0"/>
          <w:i w:val="0"/>
          <w:color w:val="202833"/>
          <w:sz w:val="22"/>
        </w:rPr>
        <w:t>数据支撑是清晰的：2026年上半年服务业对经济增长贡献率达66.1%，较上年同期提高5.9个百分点；前三季度服务零售额同比增长5.0%，比商品零售额高4.0个百分点。发改委已会同40个部门梳理确定2026—2027两年131项重点任务，半年来出台81项配套举措。对人力资源服务业而言，「完善统计监测体系」这一条尤其关键——服务业新业态、灵活业态多，传统统计口径长期低估其规模与贡献，口径一旦补齐，行业整体的「可见度」和政策资源分配都会改变。</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政策面完成了一次关键转向：从「AI会不会冲击就业」的定性讨论，进入「成本如何分摊、责任如何落地」的定量阶段。企业侧被要求前置承担转岗成本，平台侧被要求承担算法合规成本，政府侧被要求补齐统计与培训基础设施。三条成本线同时落下，行业的竞争变量从「谁更懂招聘」变成「谁更懂在规则里挣钱」。</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智联招聘：Q3养老/看护+43.9%登顶，AI工程师应届月薪17775元</w:t>
      </w:r>
    </w:p>
    <w:p>
      <w:pPr>
        <w:spacing w:after="140" w:before="0" w:line="312" w:lineRule="auto"/>
        <w:ind w:left="113"/>
      </w:pPr>
      <w:r>
        <w:rPr>
          <w:rFonts w:ascii="微软雅黑" w:hAnsi="微软雅黑" w:eastAsia="微软雅黑"/>
          <w:b w:val="0"/>
          <w:i w:val="0"/>
          <w:color w:val="202833"/>
          <w:sz w:val="22"/>
        </w:rPr>
        <w:t>智联招聘《2026年三季度人才市场热点快报》显示，养老/看护行业招聘职位数同比增长43.9%，位居各行业首位；新材料+14.8%、大数据+10.2%，航空航天、人工智能、新能源同步增长。面向应届生的人工智能工程师职位数增长36.9%，平均招聘月薪达17775元。</w:t>
      </w:r>
    </w:p>
    <w:p>
      <w:pPr>
        <w:spacing w:after="140" w:before="0" w:line="312" w:lineRule="auto"/>
        <w:ind w:left="113"/>
      </w:pPr>
      <w:r>
        <w:rPr>
          <w:rFonts w:ascii="微软雅黑" w:hAnsi="微软雅黑" w:eastAsia="微软雅黑"/>
          <w:b w:val="0"/>
          <w:i w:val="0"/>
          <w:color w:val="202833"/>
          <w:sz w:val="22"/>
        </w:rPr>
        <w:t>紧缺度数据更值得关注：临床研究/试验职位数同比增长42%，需供比达4.59（平均每名求职者对应约4.6个岗位）；芯片工程师、汽车设计制造工程师、人工智能工程师需供比分别为1.80、1.74、1.53，同处紧缺区间。应届生招聘与投递同时向前五聚集：软件/IT服务、互联网、电子半导体及集成电路、生物制药。</w:t>
      </w:r>
    </w:p>
    <w:p>
      <w:pPr>
        <w:spacing w:after="140" w:before="0" w:line="312" w:lineRule="auto"/>
        <w:ind w:left="113"/>
      </w:pPr>
      <w:r>
        <w:rPr>
          <w:rFonts w:ascii="微软雅黑" w:hAnsi="微软雅黑" w:eastAsia="微软雅黑"/>
          <w:b w:val="0"/>
          <w:i w:val="0"/>
          <w:color w:val="202833"/>
          <w:sz w:val="22"/>
        </w:rPr>
        <w:t>养老板块的结构性问题被进一步披露：据《2025养老护理员职业现状调查研究报告》，养老护理员中40—59岁群体占比高达83.25%，30岁以下年轻护理员占比不足2%。缺口正在被「新职业」填补——2025年发布的养老服务师不直接做一线照护，而是负责综合需求评估、照护方案制订与实施、技术指导与培训、质量评价管理；2026年新设适老化改造设计师；今年6月《养老服务师职业资格制度暂行规定》发布，该职业首次有了职称体系。这是「职业化」替代「苦力化」的典型样本。</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猎聘：芯片人才「两头难」，Chiplet岗位年薪64.95万、同比+211.2%</w:t>
      </w:r>
    </w:p>
    <w:p>
      <w:pPr>
        <w:spacing w:after="140" w:before="0" w:line="312" w:lineRule="auto"/>
        <w:ind w:left="113"/>
      </w:pPr>
      <w:r>
        <w:rPr>
          <w:rFonts w:ascii="微软雅黑" w:hAnsi="微软雅黑" w:eastAsia="微软雅黑"/>
          <w:b w:val="0"/>
          <w:i w:val="0"/>
          <w:color w:val="202833"/>
          <w:sz w:val="22"/>
        </w:rPr>
        <w:t>猎聘提供给第一财经的数据显示，2026年1—9月芯片行业新发职位同比增长22.2%，平均招聘年薪29.19万元、同比上涨8.8%。结构性亮点集中在先进封装与芯粒：Chiplet相关新发职位同比暴增211.2%，两年累计增长451.4%，平均年薪64.95万元，约为行业均值的2.23倍；先进封装新发职位同比增长134.6%，平均年薪42.24万元。</w:t>
      </w:r>
    </w:p>
    <w:p>
      <w:pPr>
        <w:spacing w:after="140" w:before="0" w:line="312" w:lineRule="auto"/>
        <w:ind w:left="113"/>
      </w:pPr>
      <w:r>
        <w:rPr>
          <w:rFonts w:ascii="微软雅黑" w:hAnsi="微软雅黑" w:eastAsia="微软雅黑"/>
          <w:b w:val="0"/>
          <w:i w:val="0"/>
          <w:color w:val="202833"/>
          <w:sz w:val="22"/>
        </w:rPr>
        <w:t>增长最快的职能是数字后端工程师（+121.08%），半导体设备工程师（+82.67%）与模拟版图设计工程师（+75.66%）紧随其后，封装研发增幅50.73%。薪酬天花板同样被刷新：燧原科技为Chiplet/D2D方向的AI芯片架构师开出最高180万元年包，要求硕士以上、10年以上芯片架构经验；据科锐国际《2026人才市场洞察及薪酬指南》，成熟AI芯片架构师年薪区间120—180万元，领军研发总监有25%年薪可达450万元，猎头口径供需比达1:10。</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两头难」是这个板块最真实的结构：一端是百万年薪一将难求，国内能独立承担大算力芯片、Chiplet方案研发的资深架构人才仅数百人；另一端是毕业生入行门槛快速抬高。这意味着招聘平台在高端岗位上的价值不再是「撮合」，而是「人才地图测绘」——谁能说清一个细分方向全国有多少人，谁就拿到了定价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BOSS直聘：非执行董事余海洋辞任，治理层面小幅调整</w:t>
      </w:r>
    </w:p>
    <w:p>
      <w:pPr>
        <w:spacing w:after="140" w:before="0" w:line="312" w:lineRule="auto"/>
        <w:ind w:left="113"/>
      </w:pPr>
      <w:r>
        <w:rPr>
          <w:rFonts w:ascii="微软雅黑" w:hAnsi="微软雅黑" w:eastAsia="微软雅黑"/>
          <w:b w:val="0"/>
          <w:i w:val="0"/>
          <w:color w:val="202833"/>
          <w:sz w:val="22"/>
        </w:rPr>
        <w:t>10月23日，BOSS直聘-W（02076.HK）公告余海洋辞去非执行董事职位。这是一次常规的董事会层面人事调整，不涉及经营层变动，也不改变公司控制结构。</w:t>
      </w:r>
    </w:p>
    <w:p>
      <w:pPr>
        <w:spacing w:after="140" w:before="0" w:line="312" w:lineRule="auto"/>
        <w:ind w:left="113"/>
      </w:pPr>
      <w:r>
        <w:rPr>
          <w:rFonts w:ascii="微软雅黑" w:hAnsi="微软雅黑" w:eastAsia="微软雅黑"/>
          <w:b w:val="0"/>
          <w:i w:val="0"/>
          <w:color w:val="202833"/>
          <w:sz w:val="22"/>
        </w:rPr>
        <w:t>把这条消息放进更大的背景里看更有意义：智联招聘2026财年收入23.71亿元、同比下降10%，BOSS直聘与猎聘则在AI商业化上加速。三家平台的路径分化已经很清楚——智联守存量客户与品牌广告，BOSS直聘押注直聊效率与AI匹配，猎聘切高端与垂直行业。招聘市场的竞争正从「流量份额」转向「单客价值」。</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银行秋招的AI面试账本：35元/人 对 5500元/天</w:t>
      </w:r>
    </w:p>
    <w:p>
      <w:pPr>
        <w:spacing w:after="140" w:before="0" w:line="312" w:lineRule="auto"/>
        <w:ind w:left="113"/>
      </w:pPr>
      <w:r>
        <w:rPr>
          <w:rFonts w:ascii="微软雅黑" w:hAnsi="微软雅黑" w:eastAsia="微软雅黑"/>
          <w:b w:val="0"/>
          <w:i w:val="0"/>
          <w:color w:val="202833"/>
          <w:sz w:val="22"/>
        </w:rPr>
        <w:t>随着银行秋招启动，AI面试从试点走向常态。工商银行、中国银行、招商银行、平安银行、杭州银行等多家银行已在初面环节引入AI面试。驱动力是缩招与成本管控的双重压力：据统计，2026年工、农、中、建四大行合计释放校园招聘岗位约6.4万个，同比缩减7000余个。</w:t>
      </w:r>
    </w:p>
    <w:p>
      <w:pPr>
        <w:spacing w:after="140" w:before="0" w:line="312" w:lineRule="auto"/>
        <w:ind w:left="113"/>
      </w:pPr>
      <w:r>
        <w:rPr>
          <w:rFonts w:ascii="微软雅黑" w:hAnsi="微软雅黑" w:eastAsia="微软雅黑"/>
          <w:b w:val="0"/>
          <w:i w:val="0"/>
          <w:color w:val="202833"/>
          <w:sz w:val="22"/>
        </w:rPr>
        <w:t>成本对比极为直白：AI面试每次约35元/人，而一名线下面试官每天成本约5500元/人。一位曾负责招聘的股份制银行人士对《中国经营报》表示：「AI面试就是初筛工具，最终是否录用还是看后面的真人面试。」银行的诉求是效率与标准统一，求职者端的体验则高度分化，网络上已出现「AI面试真题集」「评分标准」「不踩雷话术」等成套攻略。</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个案例是理解29号文「规范AI在人力资源管理领域应用」的最佳入口。初筛环节由算法决定去留，直接影响劳动者就业权；一旦算法标准不公开、申诉渠道不畅通，「就业歧视」的认定难度会显著上升。使用第三方AI招聘产品的企业，需要开始要求供应商提供算法说明与合规证明，否则风险留在用人企业一侧。</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秋招现场：三场招聘会与一场「反向抢人」</w:t>
      </w:r>
    </w:p>
    <w:p>
      <w:pPr>
        <w:spacing w:after="140" w:before="0" w:line="312" w:lineRule="auto"/>
        <w:ind w:left="113"/>
      </w:pPr>
      <w:r>
        <w:rPr>
          <w:rFonts w:ascii="微软雅黑" w:hAnsi="微软雅黑" w:eastAsia="微软雅黑"/>
          <w:b w:val="0"/>
          <w:i w:val="0"/>
          <w:color w:val="202833"/>
          <w:sz w:val="22"/>
        </w:rPr>
        <w:t>10月22—23日，秋招进入密集期。上海「松江七校」校园招聘月启动，722家用人单位携2万余个岗位进场，参会单位数与岗位供给均创历届新高，分设24个展区、覆盖20个省区市，专设集成电路、人工智能、高端装备、先进材料、时尚消费等产业专区；广州「百万英才汇南粤」民企专场，160余家企业提供766个岗位，2000多名毕业生到场，当天收简历3934份、达成初步就业意向786人，同步直播带岗观看17600人次；上海新型高职就业联盟在闵行成立，近200家企业携2600多个岗位到场，首批6名技术专家与劳模工匠受聘为行业导师。</w:t>
      </w:r>
    </w:p>
    <w:p>
      <w:pPr>
        <w:spacing w:after="140" w:before="0" w:line="312" w:lineRule="auto"/>
        <w:ind w:left="113"/>
      </w:pPr>
      <w:r>
        <w:rPr>
          <w:rFonts w:ascii="微软雅黑" w:hAnsi="微软雅黑" w:eastAsia="微软雅黑"/>
          <w:b w:val="0"/>
          <w:i w:val="0"/>
          <w:color w:val="202833"/>
          <w:sz w:val="22"/>
        </w:rPr>
        <w:t>与之形成对照的是10月20日在北京举行的「AI先锋未来人才大赛」：12支高校战队现场竞演，企业高管当场发Offer，起薪18万、总包25万、年薪40万的报价接连出现，甚至愿意等到学生毕业。飞书CEO谢欣、华熙生物赵燕、元气森林唐彬森、珀莱雅侯亚孟、小米人力资源副总裁王栋等担任评委。</w:t>
      </w:r>
    </w:p>
    <w:p>
      <w:pPr>
        <w:spacing w:after="140" w:before="0" w:line="312" w:lineRule="auto"/>
        <w:ind w:left="113"/>
      </w:pPr>
      <w:r>
        <w:rPr>
          <w:rFonts w:ascii="微软雅黑" w:hAnsi="微软雅黑" w:eastAsia="微软雅黑"/>
          <w:b w:val="0"/>
          <w:i w:val="0"/>
          <w:color w:val="202833"/>
          <w:sz w:val="22"/>
        </w:rPr>
        <w:t>两相对比揭示了一个正在成型的规律：标准化岗位的招聘越来越像「批量采购」（招聘会、AI初筛、标准化流程），稀缺能力岗位的招聘越来越像「一级市场投资」（赛事、竞演、现场定价、长期绑定）。招聘职能正在分裂成两条完全不同的业务线。</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在线招聘本周呈现出典型的「K字形」：总量在收缩（四大行校招同比减少7000余个岗位、智联收入下滑10%），但结构性溢价在扩大（AI芯片架构师180万、Chiplet年薪64.95万、应届AI工程师17775元/月、养老看护+43.9%）。平台的胜负手不再是MAU，而是能否在细分赛道里提供可验证的人才密度与薪酬基准。</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韩国华城电池厂火灾终审落槌：17名中国公民遇难，企业代表获刑4年</w:t>
      </w:r>
    </w:p>
    <w:p>
      <w:pPr>
        <w:spacing w:after="140" w:before="0" w:line="312" w:lineRule="auto"/>
        <w:ind w:left="113"/>
      </w:pPr>
      <w:r>
        <w:rPr>
          <w:rFonts w:ascii="微软雅黑" w:hAnsi="微软雅黑" w:eastAsia="微软雅黑"/>
          <w:b w:val="0"/>
          <w:i w:val="0"/>
          <w:color w:val="202833"/>
          <w:sz w:val="22"/>
        </w:rPr>
        <w:t>10月20日，韩国大法院对造成23人死亡的「华城电池厂火灾」案作出终审判决，判处涉事企业AriCell代表朴淳瓘有期徒刑4年。2024年6月24日的火灾共致23人遇难，其中中国公民17人、老挝公民1人、韩国公民5人，另有8人逃生时受伤。调查认定遇难者全部死于窒息，作为最高负责人，朴淳瓘完全没有履行安全生产保障义务。一审依《重大灾害处罚法》判处其15年（该法实施以来相关案件最高刑期），二审水原高等法院大幅减刑至4年，理由是证据不足以证明其存在刻意逃避监管的主观故意，且已与遇难者家属达成和解；工厂运营负责人朴重彦由15年改判7年，其余6名涉事员工全部缓刑。</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起案件的行业含义远超个案。它暴露的是「输入劳工—高风险岗位—保护缺位」这条链条：韩国自2007年起以雇用许可制（E-9签证）引进外籍劳务，持E-9签证的外国劳工人数从2021年的5.2万人增至2022年的6.9万人；韩国劳工部统计显示，过去十年外籍工人工伤事故从6404起增至8286起，每年约100人死亡。大量外籍工人集中于本国人抵触的蓝领岗位，却未获得同等水平的安全保护。</w:t>
      </w:r>
    </w:p>
    <w:p>
      <w:pPr>
        <w:spacing w:after="140" w:before="0" w:line="312" w:lineRule="auto"/>
        <w:ind w:left="113"/>
      </w:pPr>
      <w:r>
        <w:rPr>
          <w:rFonts w:ascii="微软雅黑" w:hAnsi="微软雅黑" w:eastAsia="微软雅黑"/>
          <w:b w:val="0"/>
          <w:i w:val="0"/>
          <w:color w:val="202833"/>
          <w:sz w:val="22"/>
        </w:rPr>
        <w:t>对国内劳务输出机构的直接启示有三点：一是输出前的安全告知与岗位风险披露必须留痕；二是派驻地安全培训不能停留在形式合规，尤其是锂电池、化工等高危行业；三是伤亡事故的善后与法律援助能力，正在成为劳务机构的准入门槛而非附加服务。</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《对外投资管理办法》12月1日施行：人员安全与「权益完整性」入规</w:t>
      </w:r>
    </w:p>
    <w:p>
      <w:pPr>
        <w:spacing w:after="140" w:before="0" w:line="312" w:lineRule="auto"/>
        <w:ind w:left="113"/>
      </w:pPr>
      <w:r>
        <w:rPr>
          <w:rFonts w:ascii="微软雅黑" w:hAnsi="微软雅黑" w:eastAsia="微软雅黑"/>
          <w:b w:val="0"/>
          <w:i w:val="0"/>
          <w:color w:val="202833"/>
          <w:sz w:val="22"/>
        </w:rPr>
        <w:t>10月22日，国家发展改革委公布《对外投资管理办法》（2026年第49号令），自12月1日起施行，2017年《企业境外投资管理办法》同步废止。三个变化与跨境用工直接相关：</w:t>
      </w:r>
    </w:p>
    <w:p>
      <w:pPr>
        <w:spacing w:after="140" w:before="0" w:line="312" w:lineRule="auto"/>
        <w:ind w:left="113"/>
      </w:pPr>
      <w:r>
        <w:rPr>
          <w:rFonts w:ascii="微软雅黑" w:hAnsi="微软雅黑" w:eastAsia="微软雅黑"/>
          <w:b w:val="0"/>
          <w:i w:val="0"/>
          <w:color w:val="202833"/>
          <w:sz w:val="22"/>
        </w:rPr>
        <w:t>第一，投资主体从「境内企业」扩展到「企业、其他组织和居民个人」，落实《国务院关于对外投资的规定》确立的多元主体地位。这意味着个人层面的境外投资与随之而来的境外就业、劳务安排将有更明确的制度坐标。</w:t>
      </w:r>
    </w:p>
    <w:p>
      <w:pPr>
        <w:spacing w:after="140" w:before="0" w:line="312" w:lineRule="auto"/>
        <w:ind w:left="113"/>
      </w:pPr>
      <w:r>
        <w:rPr>
          <w:rFonts w:ascii="微软雅黑" w:hAnsi="微软雅黑" w:eastAsia="微软雅黑"/>
          <w:b w:val="0"/>
          <w:i w:val="0"/>
          <w:color w:val="202833"/>
          <w:sz w:val="22"/>
        </w:rPr>
        <w:t>第二，保护对象从「资产安全」扩展为「权益完整性」。旧办法仅从保护人员、资产安全出发设置重大不利情况报告制度；新办法完善了该制度并增设对外投资信息年度报告制度，覆盖了近年出现的新情形——部分国家要求中方企业共享、转让核心工艺与数据，或要求转让、处分境外资产权益。</w:t>
      </w:r>
    </w:p>
    <w:p>
      <w:pPr>
        <w:spacing w:after="140" w:before="0" w:line="312" w:lineRule="auto"/>
        <w:ind w:left="113"/>
      </w:pPr>
      <w:r>
        <w:rPr>
          <w:rFonts w:ascii="微软雅黑" w:hAnsi="微软雅黑" w:eastAsia="微软雅黑"/>
          <w:b w:val="0"/>
          <w:i w:val="0"/>
          <w:color w:val="202833"/>
          <w:sz w:val="22"/>
        </w:rPr>
        <w:t>第三，风险治理前置化。旧办法的重大不利情况报告是事后机制；新办法面向「少数金额大、关乎我国与有关国家外交关系的项目」设置前期工作情况报告制度，在项目推进的关键节点即可介入风险评估与外交协调；第十五条将「对外投资安全审查」正式写入部门规章，第五十五条明确对歧视性措施可依法采取相应措施，形成「信息前端—审查中端—反制后端」的完整链条。</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商务部「十五五」口径：5.8万家境外中资企业、189个国家、90多个工作组</w:t>
      </w:r>
    </w:p>
    <w:p>
      <w:pPr>
        <w:spacing w:after="140" w:before="0" w:line="312" w:lineRule="auto"/>
        <w:ind w:left="113"/>
      </w:pPr>
      <w:r>
        <w:rPr>
          <w:rFonts w:ascii="微软雅黑" w:hAnsi="微软雅黑" w:eastAsia="微软雅黑"/>
          <w:b w:val="0"/>
          <w:i w:val="0"/>
          <w:color w:val="202833"/>
          <w:sz w:val="22"/>
        </w:rPr>
        <w:t>10月22日国新办发布会上，商务部副部长蒋成华介绍，「十四五」时期我国非金融类对外直接投资遍及近190个国家和地区、5年累计超8000亿美元；今年前三季度非金融类对外直接投资1010亿美元。对外投资和经济合作司司长赵春峰补充：截至2025年底对外投资存量近3.4万亿美元、连续9年保持世界前三；今年前9个月全行业对外直接投资1286.2亿美元；境外中资企业5.8万家，分布在全球189个国家。</w:t>
      </w:r>
    </w:p>
    <w:p>
      <w:pPr>
        <w:spacing w:after="140" w:before="0" w:line="312" w:lineRule="auto"/>
        <w:ind w:left="113"/>
      </w:pPr>
      <w:r>
        <w:rPr>
          <w:rFonts w:ascii="微软雅黑" w:hAnsi="微软雅黑" w:eastAsia="微软雅黑"/>
          <w:b w:val="0"/>
          <w:i w:val="0"/>
          <w:color w:val="202833"/>
          <w:sz w:val="22"/>
        </w:rPr>
        <w:t>机制层面，商务部已与重点国别建立90多个投资合作工作组，并针对数字经济、绿色矿产、绿色能源等新兴领域与合作潜力较大的国别建立专门工作组。赵春峰明确表示，将「始终把维护对外投资合作企业、项目、人员安全放在重要位置，不断健全境外风险防控体系，强化全链条保障」。</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8万家境外企业、189个国家的分布，意味着跨境用工的需求已经不是「项目制外派」这一种形态，而是长期驻在、本地招聘、第三国调派并存。劳务输出机构的客户结构正在从「工程承包商」扩展到「制造业出海企业」与「本地化运营团队」，服务内容也从「送人」延伸到薪酬代发、社保衔接、签证合规、安全培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外部环境：美方新版对华投资限制拟议规则与巴西工时改革</w:t>
      </w:r>
    </w:p>
    <w:p>
      <w:pPr>
        <w:spacing w:after="140" w:before="0" w:line="312" w:lineRule="auto"/>
        <w:ind w:left="113"/>
      </w:pPr>
      <w:r>
        <w:rPr>
          <w:rFonts w:ascii="微软雅黑" w:hAnsi="微软雅黑" w:eastAsia="微软雅黑"/>
          <w:b w:val="0"/>
          <w:i w:val="0"/>
          <w:color w:val="202833"/>
          <w:sz w:val="22"/>
        </w:rPr>
        <w:t>10月23日，美国财政部发布新版对外投资限制拟议规则征求公众意见。商务部新闻发言人10月24日回应称，该拟议规则「歧视性扩大对华投资限制范围，加大限制力度，是典型的泛化国家安全做法」，中方表示严重关切、坚决反对，将密切关注事态后续发展，保留采取相应措施的权利。对跨境人力资源服务而言，这类规则的间接影响在于项目节奏与派驻计划的确定性下降——投资受限往往先表现为项目延期，再传导为驻外岗位缩减。</w:t>
      </w:r>
    </w:p>
    <w:p>
      <w:pPr>
        <w:spacing w:after="140" w:before="0" w:line="312" w:lineRule="auto"/>
        <w:ind w:left="113"/>
      </w:pPr>
      <w:r>
        <w:rPr>
          <w:rFonts w:ascii="微软雅黑" w:hAnsi="微软雅黑" w:eastAsia="微软雅黑"/>
          <w:b w:val="0"/>
          <w:i w:val="0"/>
          <w:color w:val="202833"/>
          <w:sz w:val="22"/>
        </w:rPr>
        <w:t>另一个方向的变量来自巴西。10月16日巴西国会颁布第141号宪法修正案，正式终结「上六休一」，逐步推行双休，并在14个月内将每周工时从44小时降至40小时且不降薪。巴西劳动与就业部数据显示，约4470万有正式合同的劳动者中约1490万人实行6×1排班，占比约三分之一。成本测算分歧明显：应用经济研究所（Ipea）认为大型工商业企业运营总成本影响不到1%、劳动成本平均增幅7.84%；全国工业联合会（CNI）则预计可能造成2672亿雷亚尔成本增加和0.7%的GDP损失。对雇员不超过9人的小微企业，选择支付加班费成本增10.3%、选择新增员工成本增6.9%。</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西案例对中资出海企业的警示是「过渡期极短」：企业需在两个月内同时完成工时降至42小时与6×1改双休两项调整。已在巴西、智利、墨西哥布局制造或服务团队的企业，应立即启动三类测算——重新分配现有工时、增班增员或调整营业时间、通过集体协商采用补偿性排班，并同步升级考勤、排班与薪酬系统。</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板块本周的主线是「风险定价被重估」。韩国电池厂终审把外籍劳工的安全保护问题推到台前，《对外投资管理办法》把人员安全与权益完整性写进部门规章，美方投资限制与巴西工时改革则从外部抬高了合规成本。三股力量合流的结果是：劳务输出机构的核心能力从「渠道与配额」转向「安全合规与善后能力」，低价竞争模式的生存空间在快速收窄。</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七平台联合倡议新就业形态人员参保医保：「个人缴费+平台补贴」成形</w:t>
      </w:r>
    </w:p>
    <w:p>
      <w:pPr>
        <w:spacing w:after="140" w:before="0" w:line="312" w:lineRule="auto"/>
        <w:ind w:left="113"/>
      </w:pPr>
      <w:r>
        <w:rPr>
          <w:rFonts w:ascii="微软雅黑" w:hAnsi="微软雅黑" w:eastAsia="微软雅黑"/>
          <w:b w:val="0"/>
          <w:i w:val="0"/>
          <w:color w:val="202833"/>
          <w:sz w:val="22"/>
        </w:rPr>
        <w:t>10月22日，美团、淘宝闪购、顺丰同城、中通快递、曹操专车、T3出行和滴滴出行等7家平台发布《关于携手推进新就业形态人员参加基本医疗保险的联合倡议书》，从五个方面推进落地：主动担当支持参保、鼓励参保提升保障、优化服务便捷办理、依托骑手驿站与快递网点与司机之家开展宣传、与医保和工会及监管部门建立常态化沟通机制并对跨平台跨区域流动人员做好参保衔接。</w:t>
      </w:r>
    </w:p>
    <w:p>
      <w:pPr>
        <w:spacing w:after="140" w:before="0" w:line="312" w:lineRule="auto"/>
        <w:ind w:left="113"/>
      </w:pPr>
      <w:r>
        <w:rPr>
          <w:rFonts w:ascii="微软雅黑" w:hAnsi="微软雅黑" w:eastAsia="微软雅黑"/>
          <w:b w:val="0"/>
          <w:i w:val="0"/>
          <w:color w:val="202833"/>
          <w:sz w:val="22"/>
        </w:rPr>
        <w:t>北京大学法学院长聘副教授阎天对第一财经分析，这是9月《关于开展灵活就业人员、农民工、新就业形态人员参加基本医疗保险提质专项行动的通知》的延伸与落实，有三大重点：平台责任明确化——由于从业者通常缺乏劳动法意义上的用人单位，平台角色从单纯的交易中介转变为对劳动者负有包括医保在内一定保障责任的主体；政策导向仍为「引导鼓励」而非「强制参保」，因此以「个人缴费+平台补贴」为主；落地采取全行业协同机制，由头部平台签署带动行业协同，避免部分平台承担保障成本而其他平台不承担，从而促进公平竞争。</w:t>
      </w:r>
    </w:p>
    <w:p>
      <w:pPr>
        <w:spacing w:after="140" w:before="0" w:line="312" w:lineRule="auto"/>
        <w:ind w:left="113"/>
      </w:pPr>
      <w:r>
        <w:rPr>
          <w:rFonts w:ascii="微软雅黑" w:hAnsi="微软雅黑" w:eastAsia="微软雅黑"/>
          <w:b w:val="0"/>
          <w:i w:val="0"/>
          <w:color w:val="202833"/>
          <w:sz w:val="22"/>
        </w:rPr>
        <w:t>从业者的真实负担数据值得记录：杭州网约车司机赵师傅入行8年，每月自费缴纳约1400元灵活就业人员社保；有骑手在参与外卖平台养老保险试点后每月获700多元补贴，但当地要求养老与医疗同时缴纳，两项合计每月2000多元，医保部分需自担。阎天指出两大挑战：医疗需求贯穿在职期间而非退休后（许多骑手采取「小病自费、大病回老家用居民医保」策略），以及「候鸟式」高频流动带来的异地就医报销难题。</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「以罚代管」被摆上台面：寄件人取消订单，快递员被罚2至10元</w:t>
      </w:r>
    </w:p>
    <w:p>
      <w:pPr>
        <w:spacing w:after="140" w:before="0" w:line="312" w:lineRule="auto"/>
        <w:ind w:left="113"/>
      </w:pPr>
      <w:r>
        <w:rPr>
          <w:rFonts w:ascii="微软雅黑" w:hAnsi="微软雅黑" w:eastAsia="微软雅黑"/>
          <w:b w:val="0"/>
          <w:i w:val="0"/>
          <w:color w:val="202833"/>
          <w:sz w:val="22"/>
        </w:rPr>
        <w:t>10月23日，媒体调查披露：寄件人下单后取消订单或更改取件时间，多家快递公司快递员可能面临2元至10元不等的罚款；有快递员所在工作群每日发布前一日罚款汇总单，某片区有快递员日罚款累计达68元。圆通、韵达、中国邮政客服均称因寄件人原因取消的订单不会处罚快递员，但一线反馈与之存在落差。</w:t>
      </w:r>
    </w:p>
    <w:p>
      <w:pPr>
        <w:spacing w:after="140" w:before="0" w:line="312" w:lineRule="auto"/>
        <w:ind w:left="113"/>
      </w:pPr>
      <w:r>
        <w:rPr>
          <w:rFonts w:ascii="微软雅黑" w:hAnsi="微软雅黑" w:eastAsia="微软雅黑"/>
          <w:b w:val="0"/>
          <w:i w:val="0"/>
          <w:color w:val="202833"/>
          <w:sz w:val="22"/>
        </w:rPr>
        <w:t>法律定性相当清晰。中央财经大学法学院教授沈建峰指出，10月8日人社部就《新就业形态劳动者权益保障办法（征求意见稿）》公开征求意见，该稿引入规范企业罚款的规则，要求企业「不得滥用罚款、降低等级、封禁账号等惩罚性措施」，据此企业不能以罚代管、不能设置不合理罚款，罚款措施须与不当行为具有合理关联；消费者自身原因导致订单取消却处罚快递员，实质是转嫁企业经营风险，甚至「以罚代收」。北京威诺律师事务所主任杨兆全表示，现行《劳动法》《劳动合同法》并未赋予用人单位罚款权，劳动者有权要求企业全额返还。</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隐蔽的问题在「变相罚款」：一些公司通过揽收成功率、平衡计分卡、考核扣分等指标扣减薪酬，形式不同但实质趋同，大量此类考核扣薪已构成变相克扣工资。沈建峰进一步指出，系统不做任何甄别、只要客户联系过就一概扣分，「比以罚代管更可怕」，重大扣罚款应当有人工复核，企业还应建立内部申诉机制并对重大事项人工答复。这直接指向灵活用工平台的算法治理义务——29号文所说的「规范AI在人力资源管理领域应用」，在派单与考核场景里就是这件事。</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家政服务业：1.3万亿营收、3000万从业者、91.2%是小微企业</w:t>
      </w:r>
    </w:p>
    <w:p>
      <w:pPr>
        <w:spacing w:after="140" w:before="0" w:line="312" w:lineRule="auto"/>
        <w:ind w:left="113"/>
      </w:pPr>
      <w:r>
        <w:rPr>
          <w:rFonts w:ascii="微软雅黑" w:hAnsi="微软雅黑" w:eastAsia="微软雅黑"/>
          <w:b w:val="0"/>
          <w:i w:val="0"/>
          <w:color w:val="202833"/>
          <w:sz w:val="22"/>
        </w:rPr>
        <w:t>10月23日，2026中国家政行业高质量发展峰会发布《中国家政服务业发展及传播影响报告》：全国处于正常状态、经营范围含「家政服务」的企业近200万家，个体工商户超100万家，其中小微企业占全部家政企业数的91.2%；行业营业收入超过1.3万亿元，从业人员超过3000万。纵向看，从业人数从1995年的近10万人、2010年的1500万人增至如今超3000万人。平台型家政快速发展，2021年线上渗透率已达71.4%，互联网家政平台月活用户规模2919万人。</w:t>
      </w:r>
    </w:p>
    <w:p>
      <w:pPr>
        <w:spacing w:after="140" w:before="0" w:line="312" w:lineRule="auto"/>
        <w:ind w:left="113"/>
      </w:pPr>
      <w:r>
        <w:rPr>
          <w:rFonts w:ascii="微软雅黑" w:hAnsi="微软雅黑" w:eastAsia="微软雅黑"/>
          <w:b w:val="0"/>
          <w:i w:val="0"/>
          <w:color w:val="202833"/>
          <w:sz w:val="22"/>
        </w:rPr>
        <w:t>业态结构正在深度调整：传统「全能型」保姆逐渐被专业化、职业化的新业态替代，上门做饭、整理收纳、陪诊助医、儿童成长陪伴等新兴业态精准契合现代家庭需求；健康照护师、老年人能力评估师、整理收纳师等新职业密集涌现。同一场峰会上，唐顿世家联合穹彻智能、大寰机器人设立「家庭服务具身智能数采实验室」，聚焦真实家庭场景的数据采集。</w:t>
      </w:r>
    </w:p>
    <w:p>
      <w:pPr>
        <w:spacing w:after="140" w:before="0" w:line="312" w:lineRule="auto"/>
        <w:ind w:left="113"/>
      </w:pPr>
      <w:r>
        <w:rPr>
          <w:rFonts w:ascii="微软雅黑" w:hAnsi="微软雅黑" w:eastAsia="微软雅黑"/>
          <w:b w:val="0"/>
          <w:i w:val="0"/>
          <w:color w:val="202833"/>
          <w:sz w:val="22"/>
        </w:rPr>
        <w:t>北京家政服务协会会长王君的判断值得引用：「科技不是取代，而是释放」——家庭服务机器人承接的多为简单、繁重、可复制的家务劳动，把从业者从体力工作中释放出来，转向母婴照护、老人陪护、健康护理、家庭教育等更具情感价值与专业价值的领域。《报告》也认为家政作为「情感密集」的柔性劳动，人工难以被完全取代，「人机协同」将成为智能化条件下的新形态。同期国常会提出「加强融资、用地、人才、数据等支持」，与行业「高素质专业人才供给是最大瓶颈」的判断形成呼应。</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陪诊行业首个国家级标准将于11月1日实施</w:t>
      </w:r>
    </w:p>
    <w:p>
      <w:pPr>
        <w:spacing w:after="140" w:before="0" w:line="312" w:lineRule="auto"/>
        <w:ind w:left="113"/>
      </w:pPr>
      <w:r>
        <w:rPr>
          <w:rFonts w:ascii="微软雅黑" w:hAnsi="微软雅黑" w:eastAsia="微软雅黑"/>
          <w:b w:val="0"/>
          <w:i w:val="0"/>
          <w:color w:val="202833"/>
          <w:sz w:val="22"/>
        </w:rPr>
        <w:t>国家市场监督管理总局、国家标准化管理委员会发布的《社会化陪同就医服务基本要求》将于今年11月1日起正式实施，这是国内陪诊行业首个国家级标准。天眼查数据显示，目前全国经营范围包含陪诊服务的相关企业已超过2000家。</w:t>
      </w:r>
    </w:p>
    <w:p>
      <w:pPr>
        <w:spacing w:after="140" w:before="0" w:line="312" w:lineRule="auto"/>
        <w:ind w:left="113"/>
      </w:pPr>
      <w:r>
        <w:rPr>
          <w:rFonts w:ascii="微软雅黑" w:hAnsi="微软雅黑" w:eastAsia="微软雅黑"/>
          <w:b w:val="0"/>
          <w:i w:val="0"/>
          <w:color w:val="202833"/>
          <w:sz w:val="22"/>
        </w:rPr>
        <w:t>行业痛点是长期缺标准：部分人员未经系统培训即上岗，对医疗知识一知半解，甚至越界给出诊疗建议或代替患者作出治疗决策；合规运营机构承受低价无序竞争挤压；供需信息不对称导致消费者难以核验资质。国标从人员资质、服务边界、流程规范等方面提供统一依据，市场逻辑将从「拼价格」转向「拼质量」。此前上海、成都、浙江等地已出台地方服务标准与专项能力认证政策。</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诊是典型的「新职业+灵活用工」交叉地带：需求真实（第一代独生子女进入照护主力期、医院数字化提高就医操作门槛）、供给分散（大量个体与小微机构）、标准刚落地。国标实施后，「持证上岗+机构资质+服务协议」会成为采购与派单的硬门槛，这对灵活用工平台的资质核验能力是一次直接考验。</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制度底座：公积金改革满月与巴西工时的镜像</w:t>
      </w:r>
    </w:p>
    <w:p>
      <w:pPr>
        <w:spacing w:after="140" w:before="0" w:line="312" w:lineRule="auto"/>
        <w:ind w:left="113"/>
      </w:pPr>
      <w:r>
        <w:rPr>
          <w:rFonts w:ascii="微软雅黑" w:hAnsi="微软雅黑" w:eastAsia="微软雅黑"/>
          <w:b w:val="0"/>
          <w:i w:val="0"/>
          <w:color w:val="202833"/>
          <w:sz w:val="22"/>
        </w:rPr>
        <w:t>新修订的《住房公积金管理条例》自9月20日施行已满月，多地加速出台配套政策。中指研究院监测显示，2026年以来全国住房公积金相关优化政策已超500条。深圳、杭州、南京等地相继支持提取公积金用于装修、物业费；杭州明确装修提取总额不超过增值税发票金额且最高不超过25万元，南京按发票金额核定、每平方米不超过1000元、家庭提取总额最高不超过15万元。</w:t>
      </w:r>
    </w:p>
    <w:p>
      <w:pPr>
        <w:spacing w:after="140" w:before="0" w:line="312" w:lineRule="auto"/>
        <w:ind w:left="113"/>
      </w:pPr>
      <w:r>
        <w:rPr>
          <w:rFonts w:ascii="微软雅黑" w:hAnsi="微软雅黑" w:eastAsia="微软雅黑"/>
          <w:b w:val="0"/>
          <w:i w:val="0"/>
          <w:color w:val="202833"/>
          <w:sz w:val="22"/>
        </w:rPr>
        <w:t>对灵活就业群体的意义在于制度边界的松动：公积金正从单一「购房工具」转型为覆盖「购、租、修、养」全居住生命周期的支持体系，并新增「国务院批准的其他住房消费情形」作为兜底条款。对以灵活就业身份参保的2亿量级劳动者而言，住房与医疗两项保障的同时扩容，会实质改变「灵活就业=低保障」的等式。</w:t>
      </w:r>
    </w:p>
    <w:p>
      <w:pPr>
        <w:spacing w:after="140" w:before="0" w:line="312" w:lineRule="auto"/>
        <w:ind w:left="113"/>
      </w:pPr>
      <w:r>
        <w:rPr>
          <w:rFonts w:ascii="微软雅黑" w:hAnsi="微软雅黑" w:eastAsia="微软雅黑"/>
          <w:b w:val="0"/>
          <w:i w:val="0"/>
          <w:color w:val="202833"/>
          <w:sz w:val="22"/>
        </w:rPr>
        <w:t>把巴西的工时改革放在一起看，可以看到一个全球性趋势：劳动保障的计量单位正在从「岗位」转向「人」。巴西用宪法修正案把44小时压到40小时且不降薪，中国用公积金与医保扩面覆盖非标准劳动关系——路径不同，方向一致。</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本周的关键变化是「合规成本从选择题变成必答题」。七平台医保倡议确立了「个人缴费+平台补贴」的分摊范式，快递罚款争议确立了「以罚代管」的违法边界，陪诊国标确立了新职业的资质门槛，家政报告则揭示了91.2%小微企业构成的供给端无力独自承担合规成本。行业将出现一轮以「合规能力」为标的的整合，中小平台的出路是被集成或被淘汰。</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一级市场：一周7笔融资，Pigment 2.5亿美元E轮领衔</w:t>
      </w:r>
    </w:p>
    <w:p>
      <w:pPr>
        <w:spacing w:after="140" w:before="0" w:line="312" w:lineRule="auto"/>
        <w:ind w:left="113"/>
      </w:pPr>
      <w:r>
        <w:rPr>
          <w:rFonts w:ascii="微软雅黑" w:hAnsi="微软雅黑" w:eastAsia="微软雅黑"/>
          <w:b w:val="0"/>
          <w:i w:val="0"/>
          <w:color w:val="202833"/>
          <w:sz w:val="22"/>
        </w:rPr>
        <w:t>据HRTechChina统计，10月19日至10月23日一周内全球HR科技赛道披露7笔融资：法国人工智能商业规划与绩效管理平台Pigment获2.5亿美元E轮融资（估值约23亿美元），加速企业自主规划落地；美国面向一线员工运营的应用型AI平台Firstwork获1500万美元A轮；美国AI驱动家庭照护平台Rosie获700万美元；英国监管科技平台CoComply获190万英镑，聚焦隐性劳动力合规风险；美国代理式学习平台LearnUpon获5000万美元，重塑企业培训；美国一线应急人员绩效辅导平台Sharp Performance获1800万美元A轮；维也纳建筑与房地产行业AI原生后台自动化平台reebuild获300万欧元种子轮。</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笔融资的分布透露了资金偏好：一线员工（frontline）运营、合规风控、企业培训、垂直行业后台自动化——全部是「能算出人力成本下降幅度」的场景，而非泛化的HR SaaS。CoComply这样的「劳动力合规科技」首次以独立品类获得融资，与29号文的算法治理条款、七平台的医保倡议构成同一条产业链的不同环节。</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二级市场：全球HR科技TOP10单月缩水331亿美元，中国TOP10跌10.7%</w:t>
      </w:r>
    </w:p>
    <w:p>
      <w:pPr>
        <w:spacing w:after="140" w:before="0" w:line="312" w:lineRule="auto"/>
        <w:ind w:left="113"/>
      </w:pPr>
      <w:r>
        <w:rPr>
          <w:rFonts w:ascii="微软雅黑" w:hAnsi="微软雅黑" w:eastAsia="微软雅黑"/>
          <w:b w:val="0"/>
          <w:i w:val="0"/>
          <w:color w:val="202833"/>
          <w:sz w:val="22"/>
        </w:rPr>
        <w:t>HRTechChina 10月14日发布的《全球HR科技TOP10市值缩水331亿美元，AI商业化却在加速》显示，全球HR科技TOP10市值单月缩水331亿美元、降幅8.0%；中国HR科技TOP10合计市值721.97亿美元、降幅10.7%。同期行业并购在加速：Workday宣布收购AI身份治理平台C1.ai（10月13日），SAP宣布收购比利时HRTech公司TechWolf（10月6日），Workday二季度财报显示AI拿下超25%新增ACV。</w:t>
      </w:r>
    </w:p>
    <w:p>
      <w:pPr>
        <w:spacing w:after="140" w:before="0" w:line="312" w:lineRule="auto"/>
        <w:ind w:left="113"/>
      </w:pPr>
      <w:r>
        <w:rPr>
          <w:rFonts w:ascii="微软雅黑" w:hAnsi="微软雅黑" w:eastAsia="微软雅黑"/>
          <w:b w:val="0"/>
          <w:i w:val="0"/>
          <w:color w:val="202833"/>
          <w:sz w:val="22"/>
        </w:rPr>
        <w:t>一二级市场的背离是本季度最值得警惕的信号：二级市场在给「AI叙事」打折，一级市场仍在为「AI场景」付溢价。这种背离不会长期持续。若2027年上半年AI在HR场景的商业化数据（而非叙事）不能兑现，一级市场估值将面临一轮系统性下修。对投资机构的建议是：把「AI使用率」换成「AI带来的单位人力成本下降幅度」作为核心指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人才资本化：645家A股公司年内发布股权激励，超去年全年</w:t>
      </w:r>
    </w:p>
    <w:p>
      <w:pPr>
        <w:spacing w:after="140" w:before="0" w:line="312" w:lineRule="auto"/>
        <w:ind w:left="113"/>
      </w:pPr>
      <w:r>
        <w:rPr>
          <w:rFonts w:ascii="微软雅黑" w:hAnsi="微软雅黑" w:eastAsia="微软雅黑"/>
          <w:b w:val="0"/>
          <w:i w:val="0"/>
          <w:color w:val="202833"/>
          <w:sz w:val="22"/>
        </w:rPr>
        <w:t>Wind数据显示，截至10月23日收盘，2026年以来共有645家A股上市公司发布股权激励计划，远超去年全年总量。结构上，限制性股票占比约八成（第一类约三成、第二类约五成），第二类限制性股票爆发式增长——该工具要求激励对象达成业绩考核条件后再以授予时点市价五折左右出资购买，无需前置出资、未达标股份无需回购注销。目前仅在科创板、创业板试点，主板仍须沿用第一类限制性股票或股票期权。</w:t>
      </w:r>
    </w:p>
    <w:p>
      <w:pPr>
        <w:spacing w:after="140" w:before="0" w:line="312" w:lineRule="auto"/>
        <w:ind w:left="113"/>
      </w:pPr>
      <w:r>
        <w:rPr>
          <w:rFonts w:ascii="微软雅黑" w:hAnsi="微软雅黑" w:eastAsia="微软雅黑"/>
          <w:b w:val="0"/>
          <w:i w:val="0"/>
          <w:color w:val="202833"/>
          <w:sz w:val="22"/>
        </w:rPr>
        <w:t>行业分布上，电子行业137家占比超两成，主要涉及半导体与电子元器件；电力设备、机械设备、医药生物、计算机紧随其后。传统行业渗透率快速提升：商贸零售、纺织服装、交通运输、有色等细分领域发布数量相比去年同期均实现翻倍。考核机制也在变化——从「普惠式发股」转向精准聚焦核心技术与业务骨干，非财务指标（关键产品研发进度、海外业务发展）被纳入考核，部分公司一条业务线对应一套考核标准（医药看临床与注册证、半导体看关键产品出货量、汽车零部件看项目定点、出海企业看境外收入）。</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HR从业者而言，这是一个方法论级别的变化：长期激励从「福利工具」变成「战略增长引擎」，意味着薪酬体系设计能力正在成为人才竞争的核心变量。能否设计出与产业周期、业务阶段、人才结构匹配的激励方案，比能否招到人更能决定组织上限。</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创业生态：上海首个青年「再创业」服务平台落地虹口</w:t>
      </w:r>
    </w:p>
    <w:p>
      <w:pPr>
        <w:spacing w:after="140" w:before="0" w:line="312" w:lineRule="auto"/>
        <w:ind w:left="113"/>
      </w:pPr>
      <w:r>
        <w:rPr>
          <w:rFonts w:ascii="微软雅黑" w:hAnsi="微软雅黑" w:eastAsia="微软雅黑"/>
          <w:b w:val="0"/>
          <w:i w:val="0"/>
          <w:color w:val="202833"/>
          <w:sz w:val="22"/>
        </w:rPr>
        <w:t>10月24日，虹口区第四届人才服务月启动，发布全市首个面向青年再创业群体的服务平台「创业再来」，围绕「退出难、重启难、成长难」推出9项举措，提供从纾困帮扶到重启成长的全周期支持。平台把企业开办、清税注销、社保办结、工商注销、信用修复等事项做成服务套餐，并依托北外滩国际法律服务港、北外滩企业庭外重组中心、知识产权公共服务平台等资源，提供法律、财税、心理、人力资源、知识产权等专业服务。</w:t>
      </w:r>
    </w:p>
    <w:p>
      <w:pPr>
        <w:spacing w:after="140" w:before="0" w:line="312" w:lineRule="auto"/>
        <w:ind w:left="113"/>
      </w:pPr>
      <w:r>
        <w:rPr>
          <w:rFonts w:ascii="微软雅黑" w:hAnsi="微软雅黑" w:eastAsia="微软雅黑"/>
          <w:b w:val="0"/>
          <w:i w:val="0"/>
          <w:color w:val="202833"/>
          <w:sz w:val="22"/>
        </w:rPr>
        <w:t>支撑这套设计的是一组被反复引用的数据：哈佛商学院统计显示，首次创业成功率为18%—22%，失败过的创业者再次创业成功率为22%—30%，曾经成功过的连续创业者成功率为30%—34%。现场8位企业家、投资人、连续创业者与行业专家受聘为首批导师，与再创业青年结对提供项目复盘、可行性论证与资源匹配。</w:t>
      </w:r>
    </w:p>
    <w:p>
      <w:pPr>
        <w:spacing w:after="140" w:before="0" w:line="312" w:lineRule="auto"/>
        <w:ind w:left="113"/>
      </w:pPr>
      <w:r>
        <w:rPr>
          <w:rFonts w:ascii="微软雅黑" w:hAnsi="微软雅黑" w:eastAsia="微软雅黑"/>
          <w:b w:val="0"/>
          <w:i w:val="0"/>
          <w:color w:val="202833"/>
          <w:sz w:val="22"/>
        </w:rPr>
        <w:t>配套还包括「创业重启能量包」（每年遴选潜力突出的再创业者给予资金激励）、优先入驻低成本创业空间、通过上海市大学生科技创业基金会（EFG）与北交所路演中心等渠道对接融资，以及联动重点企业、区属国企、产业园区发布应用场景与业务需求清单。这条政策线的意义在于：创业服务从「扶第一次」扩展到「扶第二次」，人才服务的边界从「就业」延伸到「创业失败后的再利用」。</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投资创业板块本周呈现三重背离：一级市场一周7笔融资热度不减，二级市场TOP10市值单月缩水8.0%；A股645家公司用股权激励绑定人才，说明企业正在用「长期支付」替代「短期高薪」；上海推出「再创业」平台，说明地方开始把创业失败者视为可再配置的人才资产而非沉没成本。三条线索共同指向一个结论：人才资本的定价周期正在拉长，短周期的套利空间在收窄。</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事件一：AI替代的精确边界，第一次被三组数据同时画出</w:t>
      </w:r>
    </w:p>
    <w:p>
      <w:pPr>
        <w:spacing w:after="140" w:before="0" w:line="312" w:lineRule="auto"/>
        <w:ind w:left="113"/>
      </w:pPr>
      <w:r>
        <w:rPr>
          <w:rFonts w:ascii="微软雅黑" w:hAnsi="微软雅黑" w:eastAsia="微软雅黑"/>
          <w:b w:val="0"/>
          <w:i w:val="0"/>
          <w:color w:val="202833"/>
          <w:sz w:val="22"/>
        </w:rPr>
        <w:t>把本周三个看似无关的数据放在一起，会得到一个相当清晰的结论。</w:t>
      </w:r>
    </w:p>
    <w:p>
      <w:pPr>
        <w:spacing w:after="140" w:before="0" w:line="312" w:lineRule="auto"/>
        <w:ind w:left="113"/>
      </w:pPr>
      <w:r>
        <w:rPr>
          <w:rFonts w:ascii="微软雅黑" w:hAnsi="微软雅黑" w:eastAsia="微软雅黑"/>
          <w:b w:val="0"/>
          <w:i w:val="0"/>
          <w:color w:val="202833"/>
          <w:sz w:val="22"/>
        </w:rPr>
        <w:t>第一个数据：银行AI面试35元/人，线下面试官5500元/天。被替代的是什么？是初筛环节的信息采集与标准化评估。没有被替代的是什么？是终面的判断、谈判与录用决策——银行人士自己说得很清楚，「最终是否录用还是看后面的真人面试」。替代的对象是「环节」，不是「岗位」。</w:t>
      </w:r>
    </w:p>
    <w:p>
      <w:pPr>
        <w:spacing w:after="140" w:before="0" w:line="312" w:lineRule="auto"/>
        <w:ind w:left="113"/>
      </w:pPr>
      <w:r>
        <w:rPr>
          <w:rFonts w:ascii="微软雅黑" w:hAnsi="微软雅黑" w:eastAsia="微软雅黑"/>
          <w:b w:val="0"/>
          <w:i w:val="0"/>
          <w:color w:val="202833"/>
          <w:sz w:val="22"/>
        </w:rPr>
        <w:t>第二个数据：四大行2026校招约6.4万个岗位、同比缩减7000余个。岗位总量确实在减少，但减少的幅度（约10%）与AI面试的渗透速度（从试点到常态）并不同步。这说明当前的缩招主因是成本管控与业务结构调整，AI是「顺手的工具」而非「唯一的原因」。这与蔡昉的判断吻合：AI就业冲击尚未反映在宏观数据上。</w:t>
      </w:r>
    </w:p>
    <w:p>
      <w:pPr>
        <w:spacing w:after="140" w:before="0" w:line="312" w:lineRule="auto"/>
        <w:ind w:left="113"/>
      </w:pPr>
      <w:r>
        <w:rPr>
          <w:rFonts w:ascii="微软雅黑" w:hAnsi="微软雅黑" w:eastAsia="微软雅黑"/>
          <w:b w:val="0"/>
          <w:i w:val="0"/>
          <w:color w:val="202833"/>
          <w:sz w:val="22"/>
        </w:rPr>
        <w:t>第三个数据：AI人才大赛上18万、25万、40万年薪抢在校生；猎聘AI芯片架构师120—180万、供需比1:10。被溢价的是什么？是能用AI解决真实问题、交付可验证结果的能力。一位参赛学生的方案若能直接对上企业业务痛点，定价逻辑就从「按学历按年限」切换到「按结果按稀缺度」。</w:t>
      </w:r>
    </w:p>
    <w:p>
      <w:pPr>
        <w:spacing w:after="140" w:before="0" w:line="312" w:lineRule="auto"/>
        <w:ind w:left="113"/>
      </w:pPr>
      <w:r>
        <w:rPr>
          <w:rFonts w:ascii="微软雅黑" w:hAnsi="微软雅黑" w:eastAsia="微软雅黑"/>
          <w:b w:val="0"/>
          <w:i w:val="0"/>
          <w:color w:val="202833"/>
          <w:sz w:val="22"/>
        </w:rPr>
        <w:t>把三层结论叠起来：AI替代的是岗位中「可标准化、可度量、可批量处理」的环节；被替代环节的从业者面临技能贬值；能驾驭AI完成端到端交付的人获得超额溢价。这意味着「中间层」最危险——既不是纯执行（会被算法接走），也不是端到端决策者（算法暂时接不住）。</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企业HR的实操含义有三条。第一，岗位说明书需要重写：从「职责清单」改为「环节清单」，标明哪些环节可由AI承担、哪些必须由人承担、哪些需要人机协作。第二，培训预算需要重新分配：优先投向「环节迁移」而非「岗位晋升」——把一个初筛专员培养成面试决策者，比把他培养成另一个初筛专员更有价值。第三，招聘标准需要重新校准：与其考察「会不会用AI工具」，不如考察「能不能用AI交付结果」。</w:t>
      </w:r>
    </w:p>
    <w:p>
      <w:pPr>
        <w:spacing w:after="140" w:before="0" w:line="312" w:lineRule="auto"/>
        <w:ind w:left="113"/>
      </w:pPr>
      <w:r>
        <w:rPr>
          <w:rFonts w:ascii="微软雅黑" w:hAnsi="微软雅黑" w:eastAsia="微软雅黑"/>
          <w:b w:val="0"/>
          <w:i w:val="0"/>
          <w:color w:val="202833"/>
          <w:sz w:val="22"/>
        </w:rPr>
        <w:t>对政策制定者而言，29号文已经把答案写在了文件里：失业缓冲期制度解决「时间」问题（提前告知、转型转岗支持），就业风险评估解决「节奏」问题（AI项目审批与就业影响挂钩），算法治理解决「公平」问题（禁止滥用算法造成就业歧视）。三者缺一，替代的社会成本就会以另一种形式回到企业身上——劳动仲裁、舆情、监管处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事件二：灵活用工的保障成本，正在从「单险种」走向「全险种」</w:t>
      </w:r>
    </w:p>
    <w:p>
      <w:pPr>
        <w:spacing w:after="140" w:before="0" w:line="312" w:lineRule="auto"/>
        <w:ind w:left="113"/>
      </w:pPr>
      <w:r>
        <w:rPr>
          <w:rFonts w:ascii="微软雅黑" w:hAnsi="微软雅黑" w:eastAsia="微软雅黑"/>
          <w:b w:val="0"/>
          <w:i w:val="0"/>
          <w:color w:val="202833"/>
          <w:sz w:val="22"/>
        </w:rPr>
        <w:t>七平台医保联合倡议、职业伤害保障试点扩面、灵活就业人员公积金政策松绑，三件事在同一时间窗口发生，构成了一个明确的政策序列：新就业形态的保障体系正在从「单点突破」走向「体系覆盖」。</w:t>
      </w:r>
    </w:p>
    <w:p>
      <w:pPr>
        <w:spacing w:after="140" w:before="0" w:line="312" w:lineRule="auto"/>
        <w:ind w:left="113"/>
      </w:pPr>
      <w:r>
        <w:rPr>
          <w:rFonts w:ascii="微软雅黑" w:hAnsi="微软雅黑" w:eastAsia="微软雅黑"/>
          <w:b w:val="0"/>
          <w:i w:val="0"/>
          <w:color w:val="202833"/>
          <w:sz w:val="22"/>
        </w:rPr>
        <w:t>行业此前的普遍做法是以单险种方案控成本——只买工伤或只买意外，养老与医疗由劳动者自担或以「灵活就业身份」自行缴纳。杭州网约车司机赵师傅每月自费1400元、有骑手每月养老加医疗合计2000多元，就是这套安排的直接成本体现。当平台开始以「个人缴费+平台补贴」参与医保，成本结构就会改变：平台承担一部分，劳动者负担一部分，剩余的缺口仍需制度填补。</w:t>
      </w:r>
    </w:p>
    <w:p>
      <w:pPr>
        <w:spacing w:after="140" w:before="0" w:line="312" w:lineRule="auto"/>
        <w:ind w:left="113"/>
      </w:pPr>
      <w:r>
        <w:rPr>
          <w:rFonts w:ascii="微软雅黑" w:hAnsi="微软雅黑" w:eastAsia="微软雅黑"/>
          <w:b w:val="0"/>
          <w:i w:val="0"/>
          <w:color w:val="202833"/>
          <w:sz w:val="22"/>
        </w:rPr>
        <w:t>阎天的分析指出了两个技术性难题，也是行业接下来要解决的问题：一是医疗需求贯穿在职期间，而骑手普遍采取「小病自费、大病回老家用居民医保」策略，导致工作地医保需求未被充分满足；二是「候鸟式」高频流动与异地就医报销的便捷度不匹配。这两个问题不解决，参保率上去了，保障体验未必同步上去。</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企业与平台的成本测算，建议按「三档情景」准备：乐观情景（仅医保补贴）单位人力成本上升约3%—5%；中性情景（医保+职业伤害+养老补贴）上升8%—12%；保守情景（全面参保、按职工身份缴纳五险一金）上升20%以上。需要警惕的是「成本转移」带来的次生风险：转嫁给劳动者（降低单价）会直接触发劳动监察，转嫁给客户（提高服务费）会考验客户粘性。合同条款的成本调整机制应提前重谈。</w:t>
      </w:r>
    </w:p>
    <w:p>
      <w:pPr>
        <w:spacing w:after="140" w:before="0" w:line="312" w:lineRule="auto"/>
        <w:ind w:left="113"/>
      </w:pPr>
      <w:r>
        <w:rPr>
          <w:rFonts w:ascii="微软雅黑" w:hAnsi="微软雅黑" w:eastAsia="微软雅黑"/>
          <w:b w:val="0"/>
          <w:i w:val="0"/>
          <w:color w:val="202833"/>
          <w:sz w:val="22"/>
        </w:rPr>
        <w:t>另一条被忽略的线索是「以罚代管」的治理。快递员因寄件人取消订单被罚2至10元，看似金额微小，实质是企业把经营风险转嫁给无过错劳动者。《新就业形态劳动者权益保障办法（征求意见稿）》明确禁止滥用罚款、降低等级、封禁账号等惩罚性措施，沈建峰进一步指出「系统不做甄别、只要客户联系过就一概扣分，比以罚代管更可怕」。这条规则一旦落地，平台的考核系统与申诉机制都需要重构——这又是一笔刚性投入。</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两个重点事件其实是同一件事的两面：AI替代改变了「谁做什么」，保障扩面改变了「谁付什么」。前者重构岗位，后者重构成本。企业的应对顺序应当是先算清成本（保障扩面的确定性支出），再重构岗位（AI替代的不确定性收益）——顺序颠倒，很容易在效率红利兑现之前先被合规成本压垮。</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趋势研判一：合规能力从「成本项」变成「准入项」</w:t>
      </w:r>
    </w:p>
    <w:p>
      <w:pPr>
        <w:spacing w:after="140" w:before="0" w:line="312" w:lineRule="auto"/>
        <w:ind w:left="113"/>
      </w:pPr>
      <w:r>
        <w:rPr>
          <w:rFonts w:ascii="微软雅黑" w:hAnsi="微软雅黑" w:eastAsia="微软雅黑"/>
          <w:b w:val="0"/>
          <w:i w:val="0"/>
          <w:color w:val="202833"/>
          <w:sz w:val="22"/>
        </w:rPr>
        <w:t>29号文把「规范AI在人力资源管理领域应用」写入国务院文件，七平台医保倡议建立了行业协同的保障范式，陪诊国标设定了新职业的资质门槛，《新就业形态劳动者权益保障办法（征求意见稿）》划定了罚款的违法边界。四条线共同作用的结果是：合规不再是「做得好加分」，而是「做不到出局」。</w:t>
      </w:r>
    </w:p>
    <w:p>
      <w:pPr>
        <w:spacing w:after="140" w:before="0" w:line="312" w:lineRule="auto"/>
        <w:ind w:left="113"/>
      </w:pPr>
      <w:r>
        <w:rPr>
          <w:rFonts w:ascii="微软雅黑" w:hAnsi="微软雅黑" w:eastAsia="微软雅黑"/>
          <w:b w:val="0"/>
          <w:i w:val="0"/>
          <w:color w:val="202833"/>
          <w:sz w:val="22"/>
        </w:rPr>
        <w:t>具体到细分赛道：招聘平台需要算法说明与申诉机制，HR SaaS需要提供合规证明供客户转嫁审查风险，灵活用工平台需要具备参保代办与跨区域衔接能力，劳务输出机构需要具备派驻安全培训与事故善后能力。这些能力都有一个共同特征——需要前置投入、难以短期回收、但一旦建成即为壁垒。中小机构的现实选择是采购第三方合规服务，而非自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趋势研判二：计价单位从「人头」转向「结果」</w:t>
      </w:r>
    </w:p>
    <w:p>
      <w:pPr>
        <w:spacing w:after="140" w:before="0" w:line="312" w:lineRule="auto"/>
        <w:ind w:left="113"/>
      </w:pPr>
      <w:r>
        <w:rPr>
          <w:rFonts w:ascii="微软雅黑" w:hAnsi="微软雅黑" w:eastAsia="微软雅黑"/>
          <w:b w:val="0"/>
          <w:i w:val="0"/>
          <w:color w:val="202833"/>
          <w:sz w:val="22"/>
        </w:rPr>
        <w:t>AI芯片架构师180万年包与供需比1:10、AI人才大赛现场40万年薪抢在校生、Chiplet岗位平均年薪64.95万，共同说明高稀缺能力正在脱离「按年限按学历」的定价体系。与此同时，银行初筛环节被35元/次的算法替代，标准化执行环节的价格被压到接近零。</w:t>
      </w:r>
    </w:p>
    <w:p>
      <w:pPr>
        <w:spacing w:after="140" w:before="0" w:line="312" w:lineRule="auto"/>
        <w:ind w:left="113"/>
      </w:pPr>
      <w:r>
        <w:rPr>
          <w:rFonts w:ascii="微软雅黑" w:hAnsi="微软雅黑" w:eastAsia="微软雅黑"/>
          <w:b w:val="0"/>
          <w:i w:val="0"/>
          <w:color w:val="202833"/>
          <w:sz w:val="22"/>
        </w:rPr>
        <w:t>中间地带因此被压缩。对人力资源服务机构而言，商业模式必须做出选择：要么向上走「结果定价」（猎头按入职结果、RPO按交付质量、灵活用工按产出计价），要么向下走「极致效率」（AI初筛、自动化排班、批量派遣）。停留在「按人头收服务费」的中间模式，会同时承受上游溢价与下游降本的双重挤压。</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趋势研判三：出海用工从「项目外派」走向「体系化驻在」</w:t>
      </w:r>
    </w:p>
    <w:p>
      <w:pPr>
        <w:spacing w:after="140" w:before="0" w:line="312" w:lineRule="auto"/>
        <w:ind w:left="113"/>
      </w:pPr>
      <w:r>
        <w:rPr>
          <w:rFonts w:ascii="微软雅黑" w:hAnsi="微软雅黑" w:eastAsia="微软雅黑"/>
          <w:b w:val="0"/>
          <w:i w:val="0"/>
          <w:color w:val="202833"/>
          <w:sz w:val="22"/>
        </w:rPr>
        <w:t>5.8万家境外中资企业、189个国家、90多个投资合作工作组，加上《对外投资管理办法》把主体扩至居民个人、保护对象升级为「权益完整性」，说明跨境用工的需求结构已经改变。韩国电池厂案的17名中国公民遇难是一个沉痛提醒：派驻安全不是文书工作。</w:t>
      </w:r>
    </w:p>
    <w:p>
      <w:pPr>
        <w:spacing w:after="140" w:before="0" w:line="312" w:lineRule="auto"/>
        <w:ind w:left="113"/>
      </w:pPr>
      <w:r>
        <w:rPr>
          <w:rFonts w:ascii="微软雅黑" w:hAnsi="微软雅黑" w:eastAsia="微软雅黑"/>
          <w:b w:val="0"/>
          <w:i w:val="0"/>
          <w:color w:val="202833"/>
          <w:sz w:val="22"/>
        </w:rPr>
        <w:t>同时，外部规则在收紧：美方新版对华投资限制拟提高项目不确定性，巴西141号宪法修正案要求企业在两个月内完成工时与排班双重调整。出海企业的人力资源体系需要具备三项新能力——多国劳动法实时跟踪、派驻人员安全与保险方案设计、本地化招聘与跨文化管理。这三项都不是「总部派个HR过去」能解决的。</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风险提示一：AI面试与算法筛选的合规风险已实质化</w:t>
      </w:r>
    </w:p>
    <w:p>
      <w:pPr>
        <w:spacing w:after="140" w:before="0" w:line="312" w:lineRule="auto"/>
        <w:ind w:left="113"/>
      </w:pPr>
      <w:r>
        <w:rPr>
          <w:rFonts w:ascii="微软雅黑" w:hAnsi="微软雅黑" w:eastAsia="微软雅黑"/>
          <w:b w:val="0"/>
          <w:i w:val="0"/>
          <w:color w:val="202833"/>
          <w:sz w:val="22"/>
        </w:rPr>
        <w:t>29号文明确要治理「因滥用算法等造成的就业歧视、虚假招聘、侵犯隐私权休息权」。AI面试的评分逻辑、简历筛选的排除规则、排班算法的强度设定，都可能成为审查对象。使用第三方AI招聘产品的企业，需立即启动三件事：要求供应商提供算法逻辑说明与合规声明、建立人工复核与申诉通道、保留完整的筛选过程记录。风险不会停留在供应商一侧，用人企业同样承担连带责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风险提示二：灵活用工社保成本将出现一次性抬升</w:t>
      </w:r>
    </w:p>
    <w:p>
      <w:pPr>
        <w:spacing w:after="140" w:before="0" w:line="312" w:lineRule="auto"/>
        <w:ind w:left="113"/>
      </w:pPr>
      <w:r>
        <w:rPr>
          <w:rFonts w:ascii="微软雅黑" w:hAnsi="微软雅黑" w:eastAsia="微软雅黑"/>
          <w:b w:val="0"/>
          <w:i w:val="0"/>
          <w:color w:val="202833"/>
          <w:sz w:val="22"/>
        </w:rPr>
        <w:t>医保倡议+职业伤害保障扩面+养老参保鼓励，三项叠加。行业此前普遍以单险种方案控成本，全面参保后单位成本会明显上升。需要警惕「成本转移」带来的次生风险：转嫁给劳动者会触发劳动监察，转嫁给客户会考验粘性。建议提前做三档成本测算，并在年度合同谈判中设置成本联动条款。</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风险提示三：「以罚代管」是当前最集中的劳动合规雷区</w:t>
      </w:r>
    </w:p>
    <w:p>
      <w:pPr>
        <w:spacing w:after="140" w:before="0" w:line="312" w:lineRule="auto"/>
        <w:ind w:left="113"/>
      </w:pPr>
      <w:r>
        <w:rPr>
          <w:rFonts w:ascii="微软雅黑" w:hAnsi="微软雅黑" w:eastAsia="微软雅黑"/>
          <w:b w:val="0"/>
          <w:i w:val="0"/>
          <w:color w:val="202833"/>
          <w:sz w:val="22"/>
        </w:rPr>
        <w:t>快递员因寄件人取消订单被罚2至10元，只是冰山一角。更普遍的是通过揽收成功率、平衡计分卡、考核扣分等指标扣减薪酬——形式不同、实质趋同，大量此类操作已构成变相克扣工资。系统误判、咨询或表扬工单被自动判定为投诉、无核实无申诉，是监管重点关注的问题。建议平台与用工企业立即自查：罚款规则是否有合理关联、重大扣罚是否有人工复核、是否建立内部申诉机制并人工答复。</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风险提示四：一二级市场估值背离的修正风险</w:t>
      </w:r>
    </w:p>
    <w:p>
      <w:pPr>
        <w:spacing w:after="140" w:before="0" w:line="312" w:lineRule="auto"/>
        <w:ind w:left="113"/>
      </w:pPr>
      <w:r>
        <w:rPr>
          <w:rFonts w:ascii="微软雅黑" w:hAnsi="微软雅黑" w:eastAsia="微软雅黑"/>
          <w:b w:val="0"/>
          <w:i w:val="0"/>
          <w:color w:val="202833"/>
          <w:sz w:val="22"/>
        </w:rPr>
        <w:t>全球HR科技TOP10单月缩水331亿美元（-8.0%）、中国TOP10缩水10.7%，而一级市场一周内连出7笔融资。这种背离不会长期持续。若2027年上半年AI在HR场景的商业化数据（而非叙事）不能兑现，一级市场估值将面临系统性下修。对投资机构的建议是：把「AI使用率」换成「AI带来的单位人力成本下降幅度」作为核心指标；对创业公司的建议是：在融资窗口关闭前，把「AI功能清单」换成「客户可验证的成本节约案例」。</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的核心变化不是某一条新闻，而是三条成本线同时落下：企业侧的转岗与缓冲成本、平台侧的算法与保障成本、出海侧的合规与安全成本。人力资源行业下一轮的分化，不发生在「谁更懂招聘」，而发生在「谁更懂在规则里挣钱」。如果只能给一条建议：把2027年的预算，从「买工具」挪一部分到「做合规」和「做转岗」——前者决定效率，后者决定你能不能继续开门。</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AI替代的不是人，是岗位里的「环节」；被替代的环节迅速贬值，剩下的环节迅速升值。看清这条线，比预测AI会不会抢饭碗重要得多。</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生成时间：2026-10-25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