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312" w:lineRule="auto"/>
        <w:jc w:val="center"/>
      </w:pPr>
      <w:r>
        <w:rPr>
          <w:rFonts w:ascii="微软雅黑" w:hAnsi="微软雅黑" w:eastAsia="微软雅黑"/>
          <w:b/>
          <w:i w:val="0"/>
          <w:color w:val="0F2452"/>
          <w:sz w:val="48"/>
        </w:rPr>
        <w:t>人力资源行业新闻周报</w:t>
      </w:r>
    </w:p>
    <w:p>
      <w:pPr>
        <w:spacing w:after="40" w:before="0" w:line="312" w:lineRule="auto"/>
        <w:jc w:val="center"/>
      </w:pPr>
      <w:r>
        <w:rPr>
          <w:rFonts w:ascii="微软雅黑" w:hAnsi="微软雅黑" w:eastAsia="微软雅黑"/>
          <w:b/>
          <w:i w:val="0"/>
          <w:color w:val="1E4E9C"/>
          <w:sz w:val="22"/>
        </w:rPr>
        <w:t>Weekly HR Industry News Report</w:t>
      </w:r>
    </w:p>
    <w:p>
      <w:pPr>
        <w:spacing w:after="200" w:before="0" w:line="312" w:lineRule="auto"/>
        <w:jc w:val="center"/>
      </w:pPr>
      <w:r>
        <w:rPr>
          <w:rFonts w:ascii="微软雅黑" w:hAnsi="微软雅黑" w:eastAsia="微软雅黑"/>
          <w:b w:val="0"/>
          <w:i w:val="0"/>
          <w:color w:val="5C6B7A"/>
          <w:sz w:val="21"/>
        </w:rPr>
        <w:t>报告周期：2026年10月20日 — 10月27日（滚动一周）</w:t>
      </w:r>
    </w:p>
    <w:p>
      <w:pPr>
        <w:spacing w:after="160" w:line="336" w:lineRule="auto"/>
        <w:shd w:val="clear" w:fill="FFF4E6"/>
      </w:pPr>
      <w:r>
        <w:rPr>
          <w:rFonts w:ascii="微软雅黑" w:hAnsi="微软雅黑" w:eastAsia="微软雅黑"/>
          <w:b/>
          <w:i w:val="0"/>
          <w:color w:val="F57C00"/>
          <w:sz w:val="21"/>
        </w:rPr>
        <w:t>本周核心动向：</w:t>
      </w:r>
      <w:r>
        <w:rPr>
          <w:rFonts w:ascii="微软雅黑" w:hAnsi="微软雅黑" w:eastAsia="微软雅黑"/>
          <w:b w:val="0"/>
          <w:i w:val="0"/>
          <w:color w:val="141A26"/>
          <w:sz w:val="21"/>
        </w:rPr>
        <w:t>本周的分水岭不在“AI会不会替代岗位”，而在“谁来为替代付账”。微软一夜之间向6万人开出自愿离职方案，亚马逊、Meta 的动作排在前面；国内在同一周给出了制度侧回应——国办29号文首次提出“失业缓冲期制度”，但用词是“鼓励探索”。真正的窟窿在资金端：失业保险基金每收入100元要支出97.4元，备付月数已从26个月降到18个月。政策给了时间，钱还没有着落。</w:t>
      </w:r>
    </w:p>
    <w:p>
      <w:pPr>
        <w:spacing w:after="80" w:before="120" w:line="312" w:lineRule="auto"/>
      </w:pPr>
      <w:r>
        <w:rPr>
          <w:rFonts w:ascii="微软雅黑" w:hAnsi="微软雅黑" w:eastAsia="微软雅黑"/>
          <w:b/>
          <w:i w:val="0"/>
          <w:color w:val="1E4E9C"/>
          <w:sz w:val="28"/>
        </w:rPr>
        <w:t>◆ 本期速览</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微软向约6万名员工开放自愿离职补偿，超员工总数1/4，为年内第三轮人员调整；亚马逊1月裁1.6万、Meta 5月裁8000</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国办发〔2026〕29号印发，6方面18项任务，首提“失业缓冲期制度”，并明确“规范人工智能在人力资源管理领域应用”</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失业保险基金前8个月收入1453亿元、支出1415.6亿元，每100元收入对应97.4元支出；2025年已现91亿元赤字，备付月数降至约18个月</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境外中资企业从业人员476.1万人，外方雇员296.5万、中方外派约180万；《对外投资管理办法》12月1日施行，投资者明确含居民个人</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智联招聘Q3：养老/看护职位数同比+43.9%居首，应届AI工程师+36.9%、平均月薪17775元；临床研究/试验需供比达4.59</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五部门联合提示“央国企内推”骗局；江苏为7700余家人力资源服务机构、1.7万余家劳务派遣单位发布招聘信息参考文本</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AI芯片架构师年薪最高180万元、供需比1:10；国内集成电路人才缺口2025年约30万，2030年预计超50万</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外服控股前三季营收196.01亿元（+5.58%）、净利5.63亿元（+8.00%），但经营现金流同比-96.06%；德生科技人社运营及大数据+31.93%、占比破40%</w:t>
      </w:r>
    </w:p>
    <w:p>
      <w:pPr>
        <w:spacing w:after="120" w:before="240" w:line="312" w:lineRule="auto"/>
        <w:shd w:val="clear" w:fill="EAF1FB"/>
      </w:pPr>
      <w:r>
        <w:rPr>
          <w:rFonts w:ascii="微软雅黑" w:hAnsi="微软雅黑" w:eastAsia="微软雅黑"/>
          <w:b/>
          <w:i w:val="0"/>
          <w:color w:val="1E4E9C"/>
          <w:sz w:val="30"/>
        </w:rPr>
        <w:t>◆ 行业要闻速览</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1. 国办29号文：把“就业友好”写进AI应用的审批环节</w:t>
      </w:r>
    </w:p>
    <w:p>
      <w:pPr>
        <w:spacing w:after="140" w:before="0" w:line="312" w:lineRule="auto"/>
        <w:ind w:left="113"/>
      </w:pPr>
      <w:r>
        <w:rPr>
          <w:rFonts w:ascii="微软雅黑" w:hAnsi="微软雅黑" w:eastAsia="微软雅黑"/>
          <w:b w:val="0"/>
          <w:i w:val="0"/>
          <w:color w:val="202833"/>
          <w:sz w:val="22"/>
        </w:rPr>
        <w:t>10月23日，国务院办公厅印发《关于适应人工智能技术发展助力构建就业友好型发展方式的意见》（国办发〔2026〕29号），部署6个方面18项主要任务。文件在“减缓替代”之外给了三个可执行动作：一是对市场准入领域可能造成较大就业冲击的AI应用场景项目，评审时同步开展就业风险评估；二是“鼓励企业探索建立失业缓冲期制度”，在大规模推广AI过程中提前告知受影响劳动者、提供转型转岗就业支持；三是“规范人工智能在人力资源管理领域应用，依法治理因滥用算法等造成的就业歧视、虚假招聘、侵犯隐私权休息权等违法违规行为”。此外明确“落实技能人才最低工资分类参考指引”“扩大新就业形态人员职业伤害保障试点”。</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需要看清措辞边界：失业缓冲期是“鼓励探索”，不是强制义务。界面新闻10月26日评论指出，若把它设为裁员合规的硬门槛与前置条件，会与现行劳动合同法规定的裁员程序产生冲突，也会推高企业负担。政策在劳动者保护与企业经营灵活性之间刻意留了口子——这意味着接下来拼的不是文件，而是地方愿不愿意拿真金白银去补这个口子。</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2. 失业保险基金：每100元收入，对应97.4元支出</w:t>
      </w:r>
    </w:p>
    <w:p>
      <w:pPr>
        <w:spacing w:after="140" w:before="0" w:line="312" w:lineRule="auto"/>
        <w:ind w:left="113"/>
      </w:pPr>
      <w:r>
        <w:rPr>
          <w:rFonts w:ascii="微软雅黑" w:hAnsi="微软雅黑" w:eastAsia="微软雅黑"/>
          <w:b w:val="0"/>
          <w:i w:val="0"/>
          <w:color w:val="202833"/>
          <w:sz w:val="22"/>
        </w:rPr>
        <w:t>人社部数据显示，截至9月底三项社会保险基金累计结余11.2万亿元，但失业保险这个池子远没有这么宽裕。2026年前8个月，失业保险基金收入1453亿元、支出1415.6亿元，每100元收入只剩2.6元结余。参保面在持续扩大（2021年末约2.3亿人增至2026年9月底2.51亿人），结余却没有同步增厚：6月单月新增结余4.2亿元、7月猛增至23.8亿元，8月又骤降到3.2亿元，前期的改善并没有变成稳定积累。</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3. AI替代进入“排期”阶段：微软一次开放6万个自愿离职名额</w:t>
      </w:r>
    </w:p>
    <w:p>
      <w:pPr>
        <w:spacing w:after="140" w:before="0" w:line="312" w:lineRule="auto"/>
        <w:ind w:left="113"/>
      </w:pPr>
      <w:r>
        <w:rPr>
          <w:rFonts w:ascii="微软雅黑" w:hAnsi="微软雅黑" w:eastAsia="微软雅黑"/>
          <w:b w:val="0"/>
          <w:i w:val="0"/>
          <w:color w:val="202833"/>
          <w:sz w:val="22"/>
        </w:rPr>
        <w:t>微软10月26日宣布，向约6万名员工提供自愿离职补偿方案，符合条件者超过员工总数（截至6月底22.3万人）的四分之一，覆盖美国、加拿大、印度、英国的部分副总裁及以下级别员工。Xbox、Windows、Copilot及财务等部门全面参与，数据中心、销售、市场营销、网络安全、量子计算的部分岗位不具资格。这是年内第三轮调整：4月推出公司史上首个自愿退休计划（面向约8750名美国员工，最终超30%接受），7月裁员约4800人（约2.1%）。</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4. 中资企业出海：476.1万境外从业人员，青年海外就业被正式摆上桌面</w:t>
      </w:r>
    </w:p>
    <w:p>
      <w:pPr>
        <w:spacing w:after="140" w:before="0" w:line="312" w:lineRule="auto"/>
        <w:ind w:left="113"/>
      </w:pPr>
      <w:r>
        <w:rPr>
          <w:rFonts w:ascii="微软雅黑" w:hAnsi="微软雅黑" w:eastAsia="微软雅黑"/>
          <w:b w:val="0"/>
          <w:i w:val="0"/>
          <w:color w:val="202833"/>
          <w:sz w:val="22"/>
        </w:rPr>
        <w:t>截至2025年末，我国在境外设立企业5.8万家，比上年增加6000家；境外非金融中资企业从业人员总量476.1万人，其中外方雇员接近296.5万人，中方外派人员约180万人。日前，劳动经济学会就业促进专业委员会2026年三季度就业形势分析会在北京举行，主题直接定为“中资企业出海与青年境外就业”，把这件长期在民间劳务中介层面运行的事，第一次放到宏观就业政策的桌面上讨论。</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5. 八部门《产业基础能力提升“十五五”规划》：人才要素被单列为七大方向之一</w:t>
      </w:r>
    </w:p>
    <w:p>
      <w:pPr>
        <w:spacing w:after="140" w:before="0" w:line="312" w:lineRule="auto"/>
        <w:ind w:left="113"/>
      </w:pPr>
      <w:r>
        <w:rPr>
          <w:rFonts w:ascii="微软雅黑" w:hAnsi="微软雅黑" w:eastAsia="微软雅黑"/>
          <w:b w:val="0"/>
          <w:i w:val="0"/>
          <w:color w:val="202833"/>
          <w:sz w:val="22"/>
        </w:rPr>
        <w:t>10月22日，工信部联合国家发改委、教育部、财政部、人社部、国务院国资委、市场监管总局、国家国防科工局八部门印发《产业基础能力提升“十五五”规划》，这是行业内首次向社会发布的产业基础领域规划文件，划定七大重点方向、22项具体任务。其中“强化人才要素保障”被单独列出：优化高校新工科专业布局，建强卓越工程师、大国工匠与高技能人才队伍。对HR行业的含义是——未来五年的紧缺岗位清单，将更多由产业规划而非招聘平台数据来定义。</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6. 招聘合规两记动作：五部门点名“央国企内推”，江苏给出参考文本</w:t>
      </w:r>
    </w:p>
    <w:p>
      <w:pPr>
        <w:spacing w:after="140" w:before="0" w:line="312" w:lineRule="auto"/>
        <w:ind w:left="113"/>
      </w:pPr>
      <w:r>
        <w:rPr>
          <w:rFonts w:ascii="微软雅黑" w:hAnsi="微软雅黑" w:eastAsia="微软雅黑"/>
          <w:b w:val="0"/>
          <w:i w:val="0"/>
          <w:color w:val="202833"/>
          <w:sz w:val="22"/>
        </w:rPr>
        <w:t>求职旺季，人力资源社会保障部、中央网信办、教育部、公安部、国务院国资委联合发布风险提示，直指冒用央国企名义的“付费内推”骗局。套路分三步：借央国企名义编造“急招数万人”“不限专业、基本报名就能进”引流；虚构“内部推荐渠道”，谎称普通网投无法通过筛选、只有付费内推才能直通面试官；最后以“内推服务费”“面试打点费”“定金”收费后拖延失联。作案模式已从公域转向“公域引流、私域转化”，一旦得手即解散群组。有关部门强调：正规央国企招聘不收取报名费、手续费、资料费、介绍费、服务费。</w:t>
      </w:r>
    </w:p>
    <w:p>
      <w:pPr>
        <w:spacing w:after="120" w:before="240" w:line="312" w:lineRule="auto"/>
        <w:shd w:val="clear" w:fill="EAF1FB"/>
      </w:pPr>
      <w:r>
        <w:rPr>
          <w:rFonts w:ascii="微软雅黑" w:hAnsi="微软雅黑" w:eastAsia="微软雅黑"/>
          <w:b/>
          <w:i w:val="0"/>
          <w:color w:val="1E4E9C"/>
          <w:sz w:val="30"/>
        </w:rPr>
        <w:t>◆ 在线招聘板块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智联招聘：养老/看护+43.9%登顶，但真正的信号藏在“需供比”里</w:t>
      </w:r>
    </w:p>
    <w:p>
      <w:pPr>
        <w:spacing w:after="140" w:before="0" w:line="312" w:lineRule="auto"/>
        <w:ind w:left="113"/>
      </w:pPr>
      <w:r>
        <w:rPr>
          <w:rFonts w:ascii="微软雅黑" w:hAnsi="微软雅黑" w:eastAsia="微软雅黑"/>
          <w:b w:val="0"/>
          <w:i w:val="0"/>
          <w:color w:val="202833"/>
          <w:sz w:val="22"/>
        </w:rPr>
        <w:t>智联招聘《2026年三季度人才市场热点快报》显示，养老/看护行业招聘职位数同比增长43.9%，位居各行业首位；新材料+14.8%、大数据+10.2%；面向应届生的人工智能工程师职位数增长36.9%，平均招聘月薪达17775元。</w:t>
      </w:r>
    </w:p>
    <w:p>
      <w:pPr>
        <w:spacing w:after="140" w:before="0" w:line="312" w:lineRule="auto"/>
        <w:ind w:left="113"/>
      </w:pPr>
      <w:r>
        <w:rPr>
          <w:rFonts w:ascii="微软雅黑" w:hAnsi="微软雅黑" w:eastAsia="微软雅黑"/>
          <w:b w:val="0"/>
          <w:i w:val="0"/>
          <w:color w:val="202833"/>
          <w:sz w:val="22"/>
        </w:rPr>
        <w:t>更值得细看的是紧缺度指标。临床研究/试验职位数同比增长42%，需供比4.59——平台上平均每名求职者对应约4.6个岗位；芯片工程师、汽车设计制造工程师、人工智能工程师的需供比分别为1.80、1.74和1.53。这三个数字说明：不是所有“AI岗位”都缺人，缺的是有工程落地经验的中间层。</w:t>
      </w:r>
    </w:p>
    <w:p>
      <w:pPr>
        <w:spacing w:after="140" w:before="0" w:line="312" w:lineRule="auto"/>
        <w:ind w:left="113"/>
      </w:pPr>
      <w:r>
        <w:rPr>
          <w:rFonts w:ascii="微软雅黑" w:hAnsi="微软雅黑" w:eastAsia="微软雅黑"/>
          <w:b w:val="0"/>
          <w:i w:val="0"/>
          <w:color w:val="202833"/>
          <w:sz w:val="22"/>
        </w:rPr>
        <w:t>应届生端的流向也在重排：专用设备制造投递量同比+74.7%，养老/看护+54.6%，汽车智能互联、工业自动化和机器人分别+47.2%和+43.8%。具体岗位中，数据工程师应届职位+57.4%、月薪10882元；临床研究/试验+50.6%、月薪9503元；芯片工程师+43.6%、月薪14527元。</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前程无忧：AI与出海把电商招聘劈成两半，双十一黑产同步升级</w:t>
      </w:r>
    </w:p>
    <w:p>
      <w:pPr>
        <w:spacing w:after="140" w:before="0" w:line="312" w:lineRule="auto"/>
        <w:ind w:left="113"/>
      </w:pPr>
      <w:r>
        <w:rPr>
          <w:rFonts w:ascii="微软雅黑" w:hAnsi="微软雅黑" w:eastAsia="微软雅黑"/>
          <w:b w:val="0"/>
          <w:i w:val="0"/>
          <w:color w:val="202833"/>
          <w:sz w:val="22"/>
        </w:rPr>
        <w:t>前程无忧51job发布2026年第三季度电商招聘数据。前十大热招职能为：电商运营、跨境电商运营、内容运营/直播运营、客服、数据分析、市场推广/流量投放、研发、算法工程师、供应链与履约、主播及直播间管理。</w:t>
      </w:r>
    </w:p>
    <w:p>
      <w:pPr>
        <w:spacing w:after="140" w:before="0" w:line="312" w:lineRule="auto"/>
        <w:ind w:left="113"/>
      </w:pPr>
      <w:r>
        <w:rPr>
          <w:rFonts w:ascii="微软雅黑" w:hAnsi="微软雅黑" w:eastAsia="微软雅黑"/>
          <w:b w:val="0"/>
          <w:i w:val="0"/>
          <w:color w:val="202833"/>
          <w:sz w:val="22"/>
        </w:rPr>
        <w:t>但同一个榜单里同时发生两件相反的事：客服、基础设计岗受智能客服与AIGC替代，呈现“量在价跌”；算法、数据分析与跨境电商运营则“量价齐升”。跨境运营凭借出海红利进入前三，门槛已从“会铺货”转向“跨境+数据+内容+AI工具”的复合能力。薪酬随之分化——高薪岗位向“算法技术、跨境管理、数据复合、AI投放”四类职能集中。</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与之同步抬头的是大促窗口期的招聘黑产，三大特征：借势伪装（岗位名称与描述高度模仿正规电商企业）、私域闭环（从简历沟通到任务派发全程引导加外部群聊、跳转社交软件脱离平台监管）、速战速决（改用“一单一结”“垫资返佣”制造获利假象，得手即失联）。作案链路已从早期显性的“收费入职”转向“职位做流量入口、站外做转化”。平台侧搭建了“事前防控—事中干预—事后治理”闭环，通过营业执照智能鉴伪拦截伪造主体。</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AI芯片架构师：180万年包、1:10供需比、全国数百人的存量</w:t>
      </w:r>
    </w:p>
    <w:p>
      <w:pPr>
        <w:spacing w:after="140" w:before="0" w:line="312" w:lineRule="auto"/>
        <w:ind w:left="113"/>
      </w:pPr>
      <w:r>
        <w:rPr>
          <w:rFonts w:ascii="微软雅黑" w:hAnsi="微软雅黑" w:eastAsia="微软雅黑"/>
          <w:b w:val="0"/>
          <w:i w:val="0"/>
          <w:color w:val="202833"/>
          <w:sz w:val="22"/>
        </w:rPr>
        <w:t>猎聘数据显示，今年1—9月芯片行业新发职位较去年同期增长22.2%，平均招聘年薪29.19万元、同比上涨8.8%。真正的价格高地是AI芯片架构师：燧原科技为Chiplet（芯粒）/D2D（裸片到裸片）方向的架构师开出最高180万元的年包，要求硕士以上学历、10年以上芯片架构经验。与之配套的先进封装岗位新发职位同比增长134.6%，平均年薪42.24万元。</w:t>
      </w:r>
    </w:p>
    <w:p>
      <w:pPr>
        <w:spacing w:after="140" w:before="0" w:line="312" w:lineRule="auto"/>
        <w:ind w:left="113"/>
      </w:pPr>
      <w:r>
        <w:rPr>
          <w:rFonts w:ascii="微软雅黑" w:hAnsi="微软雅黑" w:eastAsia="微软雅黑"/>
          <w:b w:val="0"/>
          <w:i w:val="0"/>
          <w:color w:val="202833"/>
          <w:sz w:val="22"/>
        </w:rPr>
        <w:t>供给端的数据更刺眼：国内能独立承担大算力芯片、Chiplet方案研发的资深架构人才仅有数百人。据亨德森猎头援引科锐国际《2026人才市场洞察及薪酬指南》，成熟AI芯片架构师年薪区间120—180万元，领军研发总监有25%年薪可达450万元，猎头口径下供需比达1:10。截至2025年，国内集成电路行业人才缺口约30万，预计2030年将超50万，而高端人才在从业人员中占比不足3%。</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有岗位明确要求“必须有流片回片调试经验，仅仿真项目一般不通过初筛”——学历门槛达标不等于工程能力达标。企业招首席架构师周期可达半年，候选人临近敲定offer时被同行截胡已成行业常态。这条经验对所有“高薪缺人”的赛道都成立：真正的稀缺不是学历，是完整跑过一遍全流程的人。</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秋招现场：三场活动、两万多个岗位，一种共同的打法</w:t>
      </w:r>
    </w:p>
    <w:p>
      <w:pPr>
        <w:spacing w:after="140" w:before="0" w:line="312" w:lineRule="auto"/>
        <w:ind w:left="113"/>
      </w:pPr>
      <w:r>
        <w:rPr>
          <w:rFonts w:ascii="微软雅黑" w:hAnsi="微软雅黑" w:eastAsia="微软雅黑"/>
          <w:b w:val="0"/>
          <w:i w:val="0"/>
          <w:color w:val="202833"/>
          <w:sz w:val="22"/>
        </w:rPr>
        <w:t>10月23日，上海“松江七校”校园招聘月启动，722家用人单位携2万余个岗位进场，参会单位数与岗位供给均创历届新高，覆盖20个省（区、市），上海本地单位约占七成，设集成电路、人工智能、高端装备、先进材料、时尚消费等产业专区。同日，上海新型高职就业联盟在闵行揭牌，近200家企业带来2600余个岗位、25所高职院校参与，发布《毕业生就业服务协同行动清单》20项举措。闵职院首届354名毕业生就业去向落实率97.5%，近八成留沪，58.1%入职闵行及周边企业，订单班、驻企班、现代学徒制班学生占比达35.9%。</w:t>
      </w:r>
    </w:p>
    <w:p>
      <w:pPr>
        <w:spacing w:after="140" w:before="0" w:line="312" w:lineRule="auto"/>
        <w:ind w:left="113"/>
      </w:pPr>
      <w:r>
        <w:rPr>
          <w:rFonts w:ascii="微软雅黑" w:hAnsi="微软雅黑" w:eastAsia="微软雅黑"/>
          <w:b w:val="0"/>
          <w:i w:val="0"/>
          <w:color w:val="202833"/>
          <w:sz w:val="22"/>
        </w:rPr>
        <w:t>10月22日，广州“百万英才汇南粤”民企秋招专场在暨南大学举行，160余家民企提供766个岗位，2000多名毕业生到场，直播带岗观看17600人次。三场活动的共同点很清楚：岗位在向“产业专区”集中，服务在向“简历诊断+直播带岗+AI采集”集中，院校在向“联盟化共享岗位”集中——招聘会正在从流量场变成匹配场。</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BOSS直聘：非执行董事余海洋辞任</w:t>
      </w:r>
    </w:p>
    <w:p>
      <w:pPr>
        <w:spacing w:after="140" w:before="0" w:line="312" w:lineRule="auto"/>
        <w:ind w:left="113"/>
      </w:pPr>
      <w:r>
        <w:rPr>
          <w:rFonts w:ascii="微软雅黑" w:hAnsi="微软雅黑" w:eastAsia="微软雅黑"/>
          <w:b w:val="0"/>
          <w:i w:val="0"/>
          <w:color w:val="202833"/>
          <w:sz w:val="22"/>
        </w:rPr>
        <w:t>BOSS直聘-W（02076.HK）10月23日公告，余海洋因需要专注其他事务，辞去公司非执行董事职务，自2026年10月23日起生效。治理层面的常规变动，本周平台侧没有新的业务口径披露，Q3财报窗口仍需等待。</w:t>
      </w:r>
    </w:p>
    <w:p>
      <w:pPr>
        <w:spacing w:after="120" w:before="240" w:line="312" w:lineRule="auto"/>
        <w:shd w:val="clear" w:fill="EAF1FB"/>
      </w:pPr>
      <w:r>
        <w:rPr>
          <w:rFonts w:ascii="微软雅黑" w:hAnsi="微软雅黑" w:eastAsia="微软雅黑"/>
          <w:b/>
          <w:i w:val="0"/>
          <w:color w:val="1E4E9C"/>
          <w:sz w:val="30"/>
        </w:rPr>
        <w:t>◆ 出国劳务板块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出海用工的盘子：476.1万人，180万中方外派，296.5万本地雇员</w:t>
      </w:r>
    </w:p>
    <w:p>
      <w:pPr>
        <w:spacing w:after="140" w:before="0" w:line="312" w:lineRule="auto"/>
        <w:ind w:left="113"/>
      </w:pPr>
      <w:r>
        <w:rPr>
          <w:rFonts w:ascii="微软雅黑" w:hAnsi="微软雅黑" w:eastAsia="微软雅黑"/>
          <w:b w:val="0"/>
          <w:i w:val="0"/>
          <w:color w:val="202833"/>
          <w:sz w:val="22"/>
        </w:rPr>
        <w:t>截至2025年末，我国在境外设立企业5.8万家，比上年增加6000家。境外非金融中资企业从业人员总量476.1万人，其中外方雇员接近296.5万人、中方外派人员约180万人。这个结构值得注意：中资出海早已不是“把中国人送出去干活”，而是“少数中方骨干+大量本地雇员”的双轨配置——本地化率已超过六成。</w:t>
      </w:r>
    </w:p>
    <w:p>
      <w:pPr>
        <w:spacing w:after="140" w:before="0" w:line="312" w:lineRule="auto"/>
        <w:ind w:left="113"/>
      </w:pPr>
      <w:r>
        <w:rPr>
          <w:rFonts w:ascii="微软雅黑" w:hAnsi="微软雅黑" w:eastAsia="微软雅黑"/>
          <w:b w:val="0"/>
          <w:i w:val="0"/>
          <w:color w:val="202833"/>
          <w:sz w:val="22"/>
        </w:rPr>
        <w:t>岗位薪资也已经市场化定价。小米招聘海外客户高级销售经理，负责发掘中国出海新客户，月薪25K—35K；一家具身智能大模型企业招募出海业务法务专家，负责海外业务全流程法律支持；一家知名车企招海外销售经理，薪资为“底薪（10K—30K）+提成+驻外补贴”。三类岗位对应的正是出海企业的三个真实痛点：找客户、控合规、管渠道。</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缺口结构：非洲缺复合型、中亚缺平台、拉美缺高技能</w:t>
      </w:r>
    </w:p>
    <w:p>
      <w:pPr>
        <w:spacing w:after="140" w:before="0" w:line="312" w:lineRule="auto"/>
        <w:ind w:left="113"/>
      </w:pPr>
      <w:r>
        <w:rPr>
          <w:rFonts w:ascii="微软雅黑" w:hAnsi="微软雅黑" w:eastAsia="微软雅黑"/>
          <w:b w:val="0"/>
          <w:i w:val="0"/>
          <w:color w:val="202833"/>
          <w:sz w:val="22"/>
        </w:rPr>
        <w:t>劳动经济学会就业促进专业委员会三季度就业形势分析会上，学者给出了分区域的判断。西南财经大学教授董艳对非洲中资企业调研后发现，基建、制造业、农业项目普遍存在较大岗位缺口，且是“双重缺口”：国内兼具工程技术、东道国语言能力、熟悉当地法律与风俗的复合型青年供给严重不足；当地本土劳动力基础技能薄弱，企业需投入大量资源做岗前培训，推高整体人力成本。</w:t>
      </w:r>
    </w:p>
    <w:p>
      <w:pPr>
        <w:spacing w:after="140" w:before="0" w:line="312" w:lineRule="auto"/>
        <w:ind w:left="113"/>
      </w:pPr>
      <w:r>
        <w:rPr>
          <w:rFonts w:ascii="微软雅黑" w:hAnsi="微软雅黑" w:eastAsia="微软雅黑"/>
          <w:b w:val="0"/>
          <w:i w:val="0"/>
          <w:color w:val="202833"/>
          <w:sz w:val="22"/>
        </w:rPr>
        <w:t>香港科技大学教授潘芃杉指出，中国—中亚合作已从传统农业、大型工业项目延伸至商贸流通、住宿餐饮、跨境物流、数字服务，催生大量商贸、语言服务、运营管理类岗位，但国内青年赴中亚就业渠道分散，缺乏标准化供需对接平台，小语种人才培养体量有限。中国社会科学院拉丁美洲研究所副研究员王飞则指出，中资在新能源、矿产、通信、跨境电商加快布局，催生工程技术、跨境运营、本地化营销岗位，可为部分高技能青年提供机会。</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专家共识：青年境外就业不能简单当成国内就业压力的“出口”</w:t>
      </w:r>
    </w:p>
    <w:p>
      <w:pPr>
        <w:spacing w:after="140" w:before="0" w:line="312" w:lineRule="auto"/>
        <w:ind w:left="113"/>
      </w:pPr>
      <w:r>
        <w:rPr>
          <w:rFonts w:ascii="微软雅黑" w:hAnsi="微软雅黑" w:eastAsia="微软雅黑"/>
          <w:b w:val="0"/>
          <w:i w:val="0"/>
          <w:color w:val="202833"/>
          <w:sz w:val="22"/>
        </w:rPr>
        <w:t>这是本周出国劳务板块最需要划线的一句话。与会专家明确表示，跨境劳务合作双向管理链条长、利益矛盾复杂，青年境外就业必须坚持风险前置原则，兼顾机遇开发与风险防控，不能简单作为化解国内就业压力的出口。</w:t>
      </w:r>
    </w:p>
    <w:p>
      <w:pPr>
        <w:spacing w:after="140" w:before="0" w:line="312" w:lineRule="auto"/>
        <w:ind w:left="113"/>
      </w:pPr>
      <w:r>
        <w:rPr>
          <w:rFonts w:ascii="微软雅黑" w:hAnsi="微软雅黑" w:eastAsia="微软雅黑"/>
          <w:b w:val="0"/>
          <w:i w:val="0"/>
          <w:color w:val="202833"/>
          <w:sz w:val="22"/>
        </w:rPr>
        <w:t>配套建议有两条落点：一是把海外市场需求反馈给高校与职业院校，优化专业设置与课程内容，实现人才供给与海外岗位需求的前置匹配；二是建立出海人才的能力标准。北京外国语大学教授牛华勇提出三层框架——专业技术业务能力（对应岗位本职工作）、语言与国别认知能力（当地语言、法律制度、文化习俗、宗教社会常识）、风险素养（人身安全防范、冲突应对、心理调适、应急避险）。他主张外语类高校拓展区域国别研究、增设产业与劳工法律实务课程，理工科高校开设海外国情通识模块，高职院校面向服务业与实操技术出海岗位强化复合培养。</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被忽略的回国端：海外经历不认证、证书不互认、再就业无帮扶</w:t>
      </w:r>
    </w:p>
    <w:p>
      <w:pPr>
        <w:spacing w:after="140" w:before="0" w:line="312" w:lineRule="auto"/>
        <w:ind w:left="113"/>
      </w:pPr>
      <w:r>
        <w:rPr>
          <w:rFonts w:ascii="微软雅黑" w:hAnsi="微软雅黑" w:eastAsia="微软雅黑"/>
          <w:b w:val="0"/>
          <w:i w:val="0"/>
          <w:color w:val="202833"/>
          <w:sz w:val="22"/>
        </w:rPr>
        <w:t>北京交通大学教授唐代盛点出了一个长期被忽视的痛点：青年海外工作结束回国后，面临海外工作经历认定、职业技能证书国内互认、再就业求职支持缺失等现实问题。这构成了青年参与境外就业的重要心理障碍——“出海之后履历不被认可，回国就业更加困难”。他建议研究海外工作经历的认证机制，推动部分职业技能跨境互认，公共就业服务机构为归国青年提供就业帮扶。</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对劳务输出机构而言，这是一个明确的产品缺口。目前绝大多数机构只做“送出去”的一段，回国落地、履历折算、证书转换几乎无人承接。谁能把“出海—在岸—回流”做成闭环服务，谁就拿到了一个高黏性的长期客户关系，而不是一次性中介费。</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制度侧：《对外投资管理办法》12月1日施行，投资者明确包含居民个人</w:t>
      </w:r>
    </w:p>
    <w:p>
      <w:pPr>
        <w:spacing w:after="140" w:before="0" w:line="312" w:lineRule="auto"/>
        <w:ind w:left="113"/>
      </w:pPr>
      <w:r>
        <w:rPr>
          <w:rFonts w:ascii="微软雅黑" w:hAnsi="微软雅黑" w:eastAsia="微软雅黑"/>
          <w:b w:val="0"/>
          <w:i w:val="0"/>
          <w:color w:val="202833"/>
          <w:sz w:val="22"/>
        </w:rPr>
        <w:t>10月22日，国家发改委公布《对外投资管理办法》，替代2017年《企业境外投资管理办法》，自12月1日施行。修订后覆盖企业筹备投资、经营、出售退出等环节，完善了重大不利情况报告制度、境外再投资报告制度，并对少数金额大、关乎外交关系的项目设置前期工作情况报告制度。一大变动是规范主体范围扩大：重申投资者包括境内企业、其他组织和居民个人。</w:t>
      </w:r>
    </w:p>
    <w:p>
      <w:pPr>
        <w:spacing w:after="140" w:before="0" w:line="312" w:lineRule="auto"/>
        <w:ind w:left="113"/>
      </w:pPr>
      <w:r>
        <w:rPr>
          <w:rFonts w:ascii="微软雅黑" w:hAnsi="微软雅黑" w:eastAsia="微软雅黑"/>
          <w:b w:val="0"/>
          <w:i w:val="0"/>
          <w:color w:val="202833"/>
          <w:sz w:val="22"/>
        </w:rPr>
        <w:t>这条与劳务输出直接相关——当个人也可以成为对外投资主体，“个人出海就业”与“个人出海经营”的边界正在变得模糊，跨境用工的合规判断会比过去更复杂。叠加10月16日商务部就修订《中国禁止出口限制出口技术目录》公开征求意见（拟增列人工智能、生物医药、光伏三个领域共40项关键技术），出海企业面临的是投资、技术、用工三张网同时收紧。</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出海用工的真实瓶颈已从“有没有岗位”转向“人是否合规、能力是否对得上、回来是否有出路”。前者靠中介，后两者只能靠体系。</w:t>
      </w:r>
    </w:p>
    <w:p>
      <w:pPr>
        <w:spacing w:after="120" w:before="240" w:line="312" w:lineRule="auto"/>
        <w:shd w:val="clear" w:fill="EAF1FB"/>
      </w:pPr>
      <w:r>
        <w:rPr>
          <w:rFonts w:ascii="微软雅黑" w:hAnsi="微软雅黑" w:eastAsia="微软雅黑"/>
          <w:b/>
          <w:i w:val="0"/>
          <w:color w:val="1E4E9C"/>
          <w:sz w:val="30"/>
        </w:rPr>
        <w:t>◆ 灵活用工板块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七平台联合倡议医保：平台从“交易中介”变成“保障主体”</w:t>
      </w:r>
    </w:p>
    <w:p>
      <w:pPr>
        <w:spacing w:after="140" w:before="0" w:line="312" w:lineRule="auto"/>
        <w:ind w:left="113"/>
      </w:pPr>
      <w:r>
        <w:rPr>
          <w:rFonts w:ascii="微软雅黑" w:hAnsi="微软雅黑" w:eastAsia="微软雅黑"/>
          <w:b w:val="0"/>
          <w:i w:val="0"/>
          <w:color w:val="202833"/>
          <w:sz w:val="22"/>
        </w:rPr>
        <w:t>10月22日，美团、淘宝闪购、顺丰同城、中通快递、曹操专车、T3出行和滴滴出行等7家平台发布《关于携手推进新就业形态人员参加基本医疗保险的联合倡议书》，从五个方面推进落地：支持参保、鼓励参保（依法合规探索“个人缴费+平台补贴”）、优化服务、依托骑手驿站与司机之家做宣传、与医保工会监管部门建立常态化沟通机制并对跨平台跨区域流动人员做好参保衔接。</w:t>
      </w:r>
    </w:p>
    <w:p>
      <w:pPr>
        <w:spacing w:after="140" w:before="0" w:line="312" w:lineRule="auto"/>
        <w:ind w:left="113"/>
      </w:pPr>
      <w:r>
        <w:rPr>
          <w:rFonts w:ascii="微软雅黑" w:hAnsi="微软雅黑" w:eastAsia="微软雅黑"/>
          <w:b w:val="0"/>
          <w:i w:val="0"/>
          <w:color w:val="202833"/>
          <w:sz w:val="22"/>
        </w:rPr>
        <w:t>北京大学法学院长聘副教授阎天给出三点解读：其一，平台责任明确化——新就业形态从业者通常缺乏劳动法意义上的用人单位，平台需提供替代方案，角色从交易中介转变为对劳动者负有一定保障责任的主体；其二，政策导向仍是“引导鼓励”而非强制参保，因此以“个人缴费+平台补贴”为主；其三，采用全行业协同机制，由头部平台签署带动行业标准统一，避免“部分平台承担保障成本、其他平台不承担”的竞争扭曲。</w:t>
      </w:r>
    </w:p>
    <w:p>
      <w:pPr>
        <w:spacing w:after="140" w:before="0" w:line="312" w:lineRule="auto"/>
        <w:ind w:left="113"/>
      </w:pPr>
      <w:r>
        <w:rPr>
          <w:rFonts w:ascii="微软雅黑" w:hAnsi="微软雅黑" w:eastAsia="微软雅黑"/>
          <w:b w:val="0"/>
          <w:i w:val="0"/>
          <w:color w:val="202833"/>
          <w:sz w:val="22"/>
        </w:rPr>
        <w:t>现实负担有多重？杭州网约车司机赵师傅入行8年，每月自费缴纳约1400元灵活就业人员社保。有骑手在参与外卖平台养老保险试点后，平台每月提供700多元养老补贴，但当地要求养老与医疗同时缴纳，两项合计每月2000多元，医保部分需自己承担。这也解释了为什么医保成为这一轮保障扩围的突破口——医疗需求贯穿在职期间，而骑手“小病自费、大病回老家用居民医保”的现状，让工作地的保障长期悬空。</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武汉公积金：贷款倍数10倍提到20倍，灵活就业者第一次“同权”</w:t>
      </w:r>
    </w:p>
    <w:p>
      <w:pPr>
        <w:spacing w:after="140" w:before="0" w:line="312" w:lineRule="auto"/>
        <w:ind w:left="113"/>
      </w:pPr>
      <w:r>
        <w:rPr>
          <w:rFonts w:ascii="微软雅黑" w:hAnsi="微软雅黑" w:eastAsia="微软雅黑"/>
          <w:b w:val="0"/>
          <w:i w:val="0"/>
          <w:color w:val="202833"/>
          <w:sz w:val="22"/>
        </w:rPr>
        <w:t>9月20日新修订的《住房公积金管理条例》施行，首次在国家层面明确灵活就业人员可自愿缴存。地方层面，武汉的落地版本给出了最实的数字：新版《武汉市灵活就业人员住房公积金缴存使用管理办法》把贷款额度计算公式中的倍数由10倍提高到20倍，缴存系数与单位职工并轨。以账户日均缴存余额2万元、缴存满3年（系数1.2）测算，可贷额度约48万元，较旧规直接翻倍；首套、二套公积金贷款最高额度均为120万元，多子女家庭可上浮20%至144万元。</w:t>
      </w:r>
    </w:p>
    <w:p>
      <w:pPr>
        <w:spacing w:after="140" w:before="0" w:line="312" w:lineRule="auto"/>
        <w:ind w:left="113"/>
      </w:pPr>
      <w:r>
        <w:rPr>
          <w:rFonts w:ascii="微软雅黑" w:hAnsi="微软雅黑" w:eastAsia="微软雅黑"/>
          <w:b w:val="0"/>
          <w:i w:val="0"/>
          <w:color w:val="202833"/>
          <w:sz w:val="22"/>
        </w:rPr>
        <w:t>配套的灵活性设计更值得研究：取消原有“一次性缴存方式”，统一为“自主缴存”和“按月扣划缴存”两种模式可按月转换，有钱多存、紧张时少存；取消自动注销机制和间隔限制，可随时恢复或暂停；缴存满12个月且未提取未贷款的，销户时按0.5%年利率给一次性补贴。武汉200余家受托银行网点均可办理，有网点反映政策推出后灵活就业缴存业务同比增加50%以上。</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这是一条容易被低估的政策：它把“灵活就业”从社保的一个例外条款，往“完整市民待遇”方向推了一步。对灵活用工平台而言，公积金账户是一件比商业保险更长期、更高信任度的留人工具。</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香港网约车：1.6万人报考、合格率超六成、1万个车辆配额</w:t>
      </w:r>
    </w:p>
    <w:p>
      <w:pPr>
        <w:spacing w:after="140" w:before="0" w:line="312" w:lineRule="auto"/>
        <w:ind w:left="113"/>
      </w:pPr>
      <w:r>
        <w:rPr>
          <w:rFonts w:ascii="微软雅黑" w:hAnsi="微软雅黑" w:eastAsia="微软雅黑"/>
          <w:b w:val="0"/>
          <w:i w:val="0"/>
          <w:color w:val="202833"/>
          <w:sz w:val="22"/>
        </w:rPr>
        <w:t>香港网约车规管进入落地阶段。10月24日，运输及物流局局长陈美宝表示，“的士及网约车综合笔试”已有约1.6万人报考，合格率超过六成。特区政府建议将网约车车辆许可证上限设为1万个，第四季度接受申请，分配详情争取11月公布；平台牌照申请10月30日截止，预计11月底至12月初公布首批获批名单。</w:t>
      </w:r>
    </w:p>
    <w:p>
      <w:pPr>
        <w:spacing w:after="140" w:before="0" w:line="312" w:lineRule="auto"/>
        <w:ind w:left="113"/>
      </w:pPr>
      <w:r>
        <w:rPr>
          <w:rFonts w:ascii="微软雅黑" w:hAnsi="微软雅黑" w:eastAsia="微软雅黑"/>
          <w:b w:val="0"/>
          <w:i w:val="0"/>
          <w:color w:val="202833"/>
          <w:sz w:val="22"/>
        </w:rPr>
        <w:t>制度设计上有两个巧思：一是“人车绑定”，车辆须以个人名义登记并由登记车主驾驶；二是抽签机制不排除兼职群体，并研究向已提早考取资格者提供较高中签机会——用“诚意”做加权，而不是纯粹摇号。参照数据：全港现有18163辆的士，每日个人化点对点交通服务乘客量约88万人次，其中的士约69万（78%）、网约车约19万（22%）。1万个配额对应的正是这个22%的存量。</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APEC会议周：一场城市级的“灵活办公”压力测试</w:t>
      </w:r>
    </w:p>
    <w:p>
      <w:pPr>
        <w:spacing w:after="140" w:before="0" w:line="312" w:lineRule="auto"/>
        <w:ind w:left="113"/>
      </w:pPr>
      <w:r>
        <w:rPr>
          <w:rFonts w:ascii="微软雅黑" w:hAnsi="微软雅黑" w:eastAsia="微软雅黑"/>
          <w:b w:val="0"/>
          <w:i w:val="0"/>
          <w:color w:val="202833"/>
          <w:sz w:val="22"/>
        </w:rPr>
        <w:t>2026年11月18日至19日，APEC第三十三次领导人非正式会议将在深圳举办。10月20日，深圳市委金融办与金融工委联合向全市金融系统发出倡议书，围绕交通让行、金融服务灵活调度、运营安全提出倡议。一周内多家驻深金融机构公布安排。</w:t>
      </w:r>
    </w:p>
    <w:p>
      <w:pPr>
        <w:spacing w:after="140" w:before="0" w:line="312" w:lineRule="auto"/>
        <w:ind w:left="113"/>
      </w:pPr>
      <w:r>
        <w:rPr>
          <w:rFonts w:ascii="微软雅黑" w:hAnsi="微软雅黑" w:eastAsia="微软雅黑"/>
          <w:b w:val="0"/>
          <w:i w:val="0"/>
          <w:color w:val="202833"/>
          <w:sz w:val="22"/>
        </w:rPr>
        <w:t>招商银行的版本最完整：11月16日至20日会议周期间，除为保证业务连续性及服务质量需现场办公的岗位外，员工均远程办公；结合员工意愿鼓励在深机构干部员工调整休假安排；必须在岗的员工实行错峰上下班。平安集团安排全面居家远程办公，并统筹带薪年休假。国信证券让可远程岗位居家、现场值守岗位适当配置人数并具体排班。深创投把投委会与“深创投大讲堂”搬到线上，交易运行、基金运营、清算交收、风险监控按最小运行单元保障。</w:t>
      </w:r>
    </w:p>
    <w:p>
      <w:pPr>
        <w:spacing w:after="140" w:before="0" w:line="312" w:lineRule="auto"/>
        <w:ind w:left="113"/>
      </w:pPr>
      <w:r>
        <w:rPr>
          <w:rFonts w:ascii="微软雅黑" w:hAnsi="微软雅黑" w:eastAsia="微软雅黑"/>
          <w:b w:val="0"/>
          <w:i w:val="0"/>
          <w:color w:val="202833"/>
          <w:sz w:val="22"/>
        </w:rPr>
        <w:t>这场测试的价值在于回答了灵活办公最常被质疑的一点：金融业这种7×24不能断档的行业，能不能远程？答案是“因岗施策”——先把岗位分层，再谈灵活性。这个方法论比任何“全员远程”的口号都更可复制。</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灵活用工这一周的关键词是“同权”：医保同权、公积金同权、准入同权。保障在往上走，成本也在往上走，平台与从业者之间那笔账，正在被重新分配。</w:t>
      </w:r>
    </w:p>
    <w:p>
      <w:pPr>
        <w:spacing w:after="120" w:before="240" w:line="312" w:lineRule="auto"/>
        <w:shd w:val="clear" w:fill="EAF1FB"/>
      </w:pPr>
      <w:r>
        <w:rPr>
          <w:rFonts w:ascii="微软雅黑" w:hAnsi="微软雅黑" w:eastAsia="微软雅黑"/>
          <w:b/>
          <w:i w:val="0"/>
          <w:color w:val="1E4E9C"/>
          <w:sz w:val="30"/>
        </w:rPr>
        <w:t>◆ 投资创业板块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全球HR科技一级市场：AI把估值重新推高，但高度集中</w:t>
      </w:r>
    </w:p>
    <w:p>
      <w:pPr>
        <w:spacing w:after="140" w:before="0" w:line="312" w:lineRule="auto"/>
        <w:ind w:left="113"/>
      </w:pPr>
      <w:r>
        <w:rPr>
          <w:rFonts w:ascii="微软雅黑" w:hAnsi="微软雅黑" w:eastAsia="微软雅黑"/>
          <w:b w:val="0"/>
          <w:i w:val="0"/>
          <w:color w:val="202833"/>
          <w:sz w:val="22"/>
        </w:rPr>
        <w:t>本周及近一周披露的HR科技融资延续密集节奏：法国AI商业规划与绩效管理平台Pigment完成2.5亿美元E轮，估值达23亿美元，由EQT管理的Scaleup Europe Fund领投；美国代理式学习平台LearnUpon获5000万美元增长融资（Claret Capital Partners）；面向一线员工运营的AI平台Firstwork完成1500万美元A轮（Earlybird领投，Legion VC、Deel Ventures、Gradient、Y Combinator跟投），累计融资达2000万美元；AI驱动家庭照护平台Rosie获700万美元（Bling Capital、Reach Capital领投）；一线应急人员绩效辅导平台Sharp Performance获1800万美元A轮（Hidden Variable领投，a16z等跟投）；英国监管科技CoComply获190万英镑，专攻隐藏在供应商合同中的外部劳动力合规风险；葡萄牙教育科技Intuitivo获135万欧元种子轮；维也纳建筑行业AI后台自动化平台reebuild获300万欧元种子轮。</w:t>
      </w:r>
    </w:p>
    <w:p>
      <w:pPr>
        <w:spacing w:after="140" w:before="0" w:line="312" w:lineRule="auto"/>
        <w:ind w:left="113"/>
      </w:pPr>
      <w:r>
        <w:rPr>
          <w:rFonts w:ascii="微软雅黑" w:hAnsi="微软雅黑" w:eastAsia="微软雅黑"/>
          <w:b w:val="0"/>
          <w:i w:val="0"/>
          <w:color w:val="202833"/>
          <w:sz w:val="22"/>
        </w:rPr>
        <w:t>与一级市场的热度相反，二级市场在缩水：HRTech全球行业观察显示，全球HR上市公司市值TOP10合计约3783亿美元，较上期下降8.0%；中国HR上市公司TOP10合计约721.97亿元人民币，下降10.7%。这个背离说明资本正在从“平台规模”转向“可验证的AI收入”。</w:t>
      </w:r>
    </w:p>
    <w:tbl>
      <w:tblPr>
        <w:tblW w:type="auto" w:w="0"/>
        <w:jc w:val="center"/>
        <w:tblLook w:firstColumn="1" w:firstRow="1" w:lastColumn="0" w:lastRow="0" w:noHBand="0" w:noVBand="1" w:val="04A0"/>
      </w:tblPr>
      <w:tblGrid>
        <w:gridCol w:w="2493"/>
        <w:gridCol w:w="2493"/>
        <w:gridCol w:w="2493"/>
        <w:gridCol w:w="2493"/>
      </w:tblGrid>
      <w:tr>
        <w:tc>
          <w:tcPr>
            <w:tcW w:type="dxa" w:w="2041"/>
            <w:vAlign w:val="center"/>
            <w:shd w:val="clear" w:fill="0F2452"/>
          </w:tcPr>
          <w:p>
            <w:pPr>
              <w:jc w:val="center"/>
            </w:pPr>
            <w:r/>
            <w:r>
              <w:rPr>
                <w:rFonts w:ascii="微软雅黑" w:hAnsi="微软雅黑" w:eastAsia="微软雅黑"/>
                <w:b/>
                <w:i w:val="0"/>
                <w:color w:val="FFFFFF"/>
                <w:sz w:val="21"/>
              </w:rPr>
              <w:t>公司/标的</w:t>
            </w:r>
          </w:p>
        </w:tc>
        <w:tc>
          <w:tcPr>
            <w:tcW w:type="dxa" w:w="2494"/>
            <w:vAlign w:val="center"/>
            <w:shd w:val="clear" w:fill="0F2452"/>
          </w:tcPr>
          <w:p>
            <w:pPr>
              <w:jc w:val="center"/>
            </w:pPr>
            <w:r/>
            <w:r>
              <w:rPr>
                <w:rFonts w:ascii="微软雅黑" w:hAnsi="微软雅黑" w:eastAsia="微软雅黑"/>
                <w:b/>
                <w:i w:val="0"/>
                <w:color w:val="FFFFFF"/>
                <w:sz w:val="21"/>
              </w:rPr>
              <w:t>轮次/金额</w:t>
            </w:r>
          </w:p>
        </w:tc>
        <w:tc>
          <w:tcPr>
            <w:tcW w:type="dxa" w:w="2381"/>
            <w:vAlign w:val="center"/>
            <w:shd w:val="clear" w:fill="0F2452"/>
          </w:tcPr>
          <w:p>
            <w:pPr>
              <w:jc w:val="center"/>
            </w:pPr>
            <w:r/>
            <w:r>
              <w:rPr>
                <w:rFonts w:ascii="微软雅黑" w:hAnsi="微软雅黑" w:eastAsia="微软雅黑"/>
                <w:b/>
                <w:i w:val="0"/>
                <w:color w:val="FFFFFF"/>
                <w:sz w:val="21"/>
              </w:rPr>
              <w:t>方向</w:t>
            </w:r>
          </w:p>
        </w:tc>
        <w:tc>
          <w:tcPr>
            <w:tcW w:type="dxa" w:w="2835"/>
            <w:vAlign w:val="center"/>
            <w:shd w:val="clear" w:fill="0F2452"/>
          </w:tcPr>
          <w:p>
            <w:pPr>
              <w:jc w:val="center"/>
            </w:pPr>
            <w:r/>
            <w:r>
              <w:rPr>
                <w:rFonts w:ascii="微软雅黑" w:hAnsi="微软雅黑" w:eastAsia="微软雅黑"/>
                <w:b/>
                <w:i w:val="0"/>
                <w:color w:val="FFFFFF"/>
                <w:sz w:val="21"/>
              </w:rPr>
              <w:t>领投方</w:t>
            </w:r>
          </w:p>
        </w:tc>
      </w:tr>
      <w:tr>
        <w:tc>
          <w:tcPr>
            <w:tcW w:type="dxa" w:w="2041"/>
            <w:vAlign w:val="center"/>
          </w:tcPr>
          <w:p>
            <w:pPr>
              <w:jc w:val="center"/>
            </w:pPr>
            <w:r/>
            <w:r>
              <w:rPr>
                <w:rFonts w:ascii="微软雅黑" w:hAnsi="微软雅黑" w:eastAsia="微软雅黑"/>
                <w:b w:val="0"/>
                <w:i w:val="0"/>
                <w:color w:val="202833"/>
                <w:sz w:val="20"/>
              </w:rPr>
              <w:t>Pigment（法）</w:t>
            </w:r>
          </w:p>
        </w:tc>
        <w:tc>
          <w:tcPr>
            <w:tcW w:type="dxa" w:w="2494"/>
            <w:vAlign w:val="center"/>
          </w:tcPr>
          <w:p>
            <w:pPr>
              <w:jc w:val="center"/>
            </w:pPr>
            <w:r/>
            <w:r>
              <w:rPr>
                <w:rFonts w:ascii="微软雅黑" w:hAnsi="微软雅黑" w:eastAsia="微软雅黑"/>
                <w:b w:val="0"/>
                <w:i w:val="0"/>
                <w:color w:val="202833"/>
                <w:sz w:val="20"/>
              </w:rPr>
              <w:t>2.5亿美元 E轮 / 估值23亿美元</w:t>
            </w:r>
          </w:p>
        </w:tc>
        <w:tc>
          <w:tcPr>
            <w:tcW w:type="dxa" w:w="2381"/>
            <w:vAlign w:val="center"/>
          </w:tcPr>
          <w:p>
            <w:pPr>
              <w:jc w:val="center"/>
            </w:pPr>
            <w:r/>
            <w:r>
              <w:rPr>
                <w:rFonts w:ascii="微软雅黑" w:hAnsi="微软雅黑" w:eastAsia="微软雅黑"/>
                <w:b w:val="0"/>
                <w:i w:val="0"/>
                <w:color w:val="202833"/>
                <w:sz w:val="20"/>
              </w:rPr>
              <w:t>AI商业规划与绩效管理</w:t>
            </w:r>
          </w:p>
        </w:tc>
        <w:tc>
          <w:tcPr>
            <w:tcW w:type="dxa" w:w="2835"/>
            <w:vAlign w:val="center"/>
          </w:tcPr>
          <w:p>
            <w:pPr>
              <w:jc w:val="center"/>
            </w:pPr>
            <w:r/>
            <w:r>
              <w:rPr>
                <w:rFonts w:ascii="微软雅黑" w:hAnsi="微软雅黑" w:eastAsia="微软雅黑"/>
                <w:b w:val="0"/>
                <w:i w:val="0"/>
                <w:color w:val="202833"/>
                <w:sz w:val="20"/>
              </w:rPr>
              <w:t>EQT Scaleup Europe Fund</w:t>
            </w:r>
          </w:p>
        </w:tc>
      </w:tr>
      <w:tr>
        <w:tc>
          <w:tcPr>
            <w:tcW w:type="dxa" w:w="2041"/>
            <w:vAlign w:val="center"/>
            <w:shd w:val="clear" w:fill="EAF1FB"/>
          </w:tcPr>
          <w:p>
            <w:pPr>
              <w:jc w:val="center"/>
            </w:pPr>
            <w:r/>
            <w:r>
              <w:rPr>
                <w:rFonts w:ascii="微软雅黑" w:hAnsi="微软雅黑" w:eastAsia="微软雅黑"/>
                <w:b w:val="0"/>
                <w:i w:val="0"/>
                <w:color w:val="202833"/>
                <w:sz w:val="20"/>
              </w:rPr>
              <w:t>LearnUpon（美）</w:t>
            </w:r>
          </w:p>
        </w:tc>
        <w:tc>
          <w:tcPr>
            <w:tcW w:type="dxa" w:w="2494"/>
            <w:vAlign w:val="center"/>
            <w:shd w:val="clear" w:fill="EAF1FB"/>
          </w:tcPr>
          <w:p>
            <w:pPr>
              <w:jc w:val="center"/>
            </w:pPr>
            <w:r/>
            <w:r>
              <w:rPr>
                <w:rFonts w:ascii="微软雅黑" w:hAnsi="微软雅黑" w:eastAsia="微软雅黑"/>
                <w:b w:val="0"/>
                <w:i w:val="0"/>
                <w:color w:val="202833"/>
                <w:sz w:val="20"/>
              </w:rPr>
              <w:t>5000万美元 增长融资</w:t>
            </w:r>
          </w:p>
        </w:tc>
        <w:tc>
          <w:tcPr>
            <w:tcW w:type="dxa" w:w="2381"/>
            <w:vAlign w:val="center"/>
            <w:shd w:val="clear" w:fill="EAF1FB"/>
          </w:tcPr>
          <w:p>
            <w:pPr>
              <w:jc w:val="center"/>
            </w:pPr>
            <w:r/>
            <w:r>
              <w:rPr>
                <w:rFonts w:ascii="微软雅黑" w:hAnsi="微软雅黑" w:eastAsia="微软雅黑"/>
                <w:b w:val="0"/>
                <w:i w:val="0"/>
                <w:color w:val="202833"/>
                <w:sz w:val="20"/>
              </w:rPr>
              <w:t>代理式学习平台</w:t>
            </w:r>
          </w:p>
        </w:tc>
        <w:tc>
          <w:tcPr>
            <w:tcW w:type="dxa" w:w="2835"/>
            <w:vAlign w:val="center"/>
            <w:shd w:val="clear" w:fill="EAF1FB"/>
          </w:tcPr>
          <w:p>
            <w:pPr>
              <w:jc w:val="center"/>
            </w:pPr>
            <w:r/>
            <w:r>
              <w:rPr>
                <w:rFonts w:ascii="微软雅黑" w:hAnsi="微软雅黑" w:eastAsia="微软雅黑"/>
                <w:b w:val="0"/>
                <w:i w:val="0"/>
                <w:color w:val="202833"/>
                <w:sz w:val="20"/>
              </w:rPr>
              <w:t>Claret Capital Partners</w:t>
            </w:r>
          </w:p>
        </w:tc>
      </w:tr>
      <w:tr>
        <w:tc>
          <w:tcPr>
            <w:tcW w:type="dxa" w:w="2041"/>
            <w:vAlign w:val="center"/>
          </w:tcPr>
          <w:p>
            <w:pPr>
              <w:jc w:val="center"/>
            </w:pPr>
            <w:r/>
            <w:r>
              <w:rPr>
                <w:rFonts w:ascii="微软雅黑" w:hAnsi="微软雅黑" w:eastAsia="微软雅黑"/>
                <w:b w:val="0"/>
                <w:i w:val="0"/>
                <w:color w:val="202833"/>
                <w:sz w:val="20"/>
              </w:rPr>
              <w:t>Firstwork（美）</w:t>
            </w:r>
          </w:p>
        </w:tc>
        <w:tc>
          <w:tcPr>
            <w:tcW w:type="dxa" w:w="2494"/>
            <w:vAlign w:val="center"/>
          </w:tcPr>
          <w:p>
            <w:pPr>
              <w:jc w:val="center"/>
            </w:pPr>
            <w:r/>
            <w:r>
              <w:rPr>
                <w:rFonts w:ascii="微软雅黑" w:hAnsi="微软雅黑" w:eastAsia="微软雅黑"/>
                <w:b w:val="0"/>
                <w:i w:val="0"/>
                <w:color w:val="202833"/>
                <w:sz w:val="20"/>
              </w:rPr>
              <w:t>1500万美元 A轮</w:t>
            </w:r>
          </w:p>
        </w:tc>
        <w:tc>
          <w:tcPr>
            <w:tcW w:type="dxa" w:w="2381"/>
            <w:vAlign w:val="center"/>
          </w:tcPr>
          <w:p>
            <w:pPr>
              <w:jc w:val="center"/>
            </w:pPr>
            <w:r/>
            <w:r>
              <w:rPr>
                <w:rFonts w:ascii="微软雅黑" w:hAnsi="微软雅黑" w:eastAsia="微软雅黑"/>
                <w:b w:val="0"/>
                <w:i w:val="0"/>
                <w:color w:val="202833"/>
                <w:sz w:val="20"/>
              </w:rPr>
              <w:t>一线员工AI运营平台</w:t>
            </w:r>
          </w:p>
        </w:tc>
        <w:tc>
          <w:tcPr>
            <w:tcW w:type="dxa" w:w="2835"/>
            <w:vAlign w:val="center"/>
          </w:tcPr>
          <w:p>
            <w:pPr>
              <w:jc w:val="center"/>
            </w:pPr>
            <w:r/>
            <w:r>
              <w:rPr>
                <w:rFonts w:ascii="微软雅黑" w:hAnsi="微软雅黑" w:eastAsia="微软雅黑"/>
                <w:b w:val="0"/>
                <w:i w:val="0"/>
                <w:color w:val="202833"/>
                <w:sz w:val="20"/>
              </w:rPr>
              <w:t>Earlybird（Deel Ventures等跟投）</w:t>
            </w:r>
          </w:p>
        </w:tc>
      </w:tr>
      <w:tr>
        <w:tc>
          <w:tcPr>
            <w:tcW w:type="dxa" w:w="2041"/>
            <w:vAlign w:val="center"/>
            <w:shd w:val="clear" w:fill="EAF1FB"/>
          </w:tcPr>
          <w:p>
            <w:pPr>
              <w:jc w:val="center"/>
            </w:pPr>
            <w:r/>
            <w:r>
              <w:rPr>
                <w:rFonts w:ascii="微软雅黑" w:hAnsi="微软雅黑" w:eastAsia="微软雅黑"/>
                <w:b w:val="0"/>
                <w:i w:val="0"/>
                <w:color w:val="202833"/>
                <w:sz w:val="20"/>
              </w:rPr>
              <w:t>Sharp Performance（美）</w:t>
            </w:r>
          </w:p>
        </w:tc>
        <w:tc>
          <w:tcPr>
            <w:tcW w:type="dxa" w:w="2494"/>
            <w:vAlign w:val="center"/>
            <w:shd w:val="clear" w:fill="EAF1FB"/>
          </w:tcPr>
          <w:p>
            <w:pPr>
              <w:jc w:val="center"/>
            </w:pPr>
            <w:r/>
            <w:r>
              <w:rPr>
                <w:rFonts w:ascii="微软雅黑" w:hAnsi="微软雅黑" w:eastAsia="微软雅黑"/>
                <w:b w:val="0"/>
                <w:i w:val="0"/>
                <w:color w:val="202833"/>
                <w:sz w:val="20"/>
              </w:rPr>
              <w:t>1800万美元 A轮</w:t>
            </w:r>
          </w:p>
        </w:tc>
        <w:tc>
          <w:tcPr>
            <w:tcW w:type="dxa" w:w="2381"/>
            <w:vAlign w:val="center"/>
            <w:shd w:val="clear" w:fill="EAF1FB"/>
          </w:tcPr>
          <w:p>
            <w:pPr>
              <w:jc w:val="center"/>
            </w:pPr>
            <w:r/>
            <w:r>
              <w:rPr>
                <w:rFonts w:ascii="微软雅黑" w:hAnsi="微软雅黑" w:eastAsia="微软雅黑"/>
                <w:b w:val="0"/>
                <w:i w:val="0"/>
                <w:color w:val="202833"/>
                <w:sz w:val="20"/>
              </w:rPr>
              <w:t>一线应急人员绩效辅导</w:t>
            </w:r>
          </w:p>
        </w:tc>
        <w:tc>
          <w:tcPr>
            <w:tcW w:type="dxa" w:w="2835"/>
            <w:vAlign w:val="center"/>
            <w:shd w:val="clear" w:fill="EAF1FB"/>
          </w:tcPr>
          <w:p>
            <w:pPr>
              <w:jc w:val="center"/>
            </w:pPr>
            <w:r/>
            <w:r>
              <w:rPr>
                <w:rFonts w:ascii="微软雅黑" w:hAnsi="微软雅黑" w:eastAsia="微软雅黑"/>
                <w:b w:val="0"/>
                <w:i w:val="0"/>
                <w:color w:val="202833"/>
                <w:sz w:val="20"/>
              </w:rPr>
              <w:t>Hidden Variable（a16z跟投）</w:t>
            </w:r>
          </w:p>
        </w:tc>
      </w:tr>
      <w:tr>
        <w:tc>
          <w:tcPr>
            <w:tcW w:type="dxa" w:w="2041"/>
            <w:vAlign w:val="center"/>
          </w:tcPr>
          <w:p>
            <w:pPr>
              <w:jc w:val="center"/>
            </w:pPr>
            <w:r/>
            <w:r>
              <w:rPr>
                <w:rFonts w:ascii="微软雅黑" w:hAnsi="微软雅黑" w:eastAsia="微软雅黑"/>
                <w:b w:val="0"/>
                <w:i w:val="0"/>
                <w:color w:val="202833"/>
                <w:sz w:val="20"/>
              </w:rPr>
              <w:t>Rosie（美）</w:t>
            </w:r>
          </w:p>
        </w:tc>
        <w:tc>
          <w:tcPr>
            <w:tcW w:type="dxa" w:w="2494"/>
            <w:vAlign w:val="center"/>
          </w:tcPr>
          <w:p>
            <w:pPr>
              <w:jc w:val="center"/>
            </w:pPr>
            <w:r/>
            <w:r>
              <w:rPr>
                <w:rFonts w:ascii="微软雅黑" w:hAnsi="微软雅黑" w:eastAsia="微软雅黑"/>
                <w:b w:val="0"/>
                <w:i w:val="0"/>
                <w:color w:val="202833"/>
                <w:sz w:val="20"/>
              </w:rPr>
              <w:t>700万美元</w:t>
            </w:r>
          </w:p>
        </w:tc>
        <w:tc>
          <w:tcPr>
            <w:tcW w:type="dxa" w:w="2381"/>
            <w:vAlign w:val="center"/>
          </w:tcPr>
          <w:p>
            <w:pPr>
              <w:jc w:val="center"/>
            </w:pPr>
            <w:r/>
            <w:r>
              <w:rPr>
                <w:rFonts w:ascii="微软雅黑" w:hAnsi="微软雅黑" w:eastAsia="微软雅黑"/>
                <w:b w:val="0"/>
                <w:i w:val="0"/>
                <w:color w:val="202833"/>
                <w:sz w:val="20"/>
              </w:rPr>
              <w:t>AI家庭照护/灵活用工</w:t>
            </w:r>
          </w:p>
        </w:tc>
        <w:tc>
          <w:tcPr>
            <w:tcW w:type="dxa" w:w="2835"/>
            <w:vAlign w:val="center"/>
          </w:tcPr>
          <w:p>
            <w:pPr>
              <w:jc w:val="center"/>
            </w:pPr>
            <w:r/>
            <w:r>
              <w:rPr>
                <w:rFonts w:ascii="微软雅黑" w:hAnsi="微软雅黑" w:eastAsia="微软雅黑"/>
                <w:b w:val="0"/>
                <w:i w:val="0"/>
                <w:color w:val="202833"/>
                <w:sz w:val="20"/>
              </w:rPr>
              <w:t>Bling Capital、Reach Capital</w:t>
            </w:r>
          </w:p>
        </w:tc>
      </w:tr>
      <w:tr>
        <w:tc>
          <w:tcPr>
            <w:tcW w:type="dxa" w:w="2041"/>
            <w:vAlign w:val="center"/>
            <w:shd w:val="clear" w:fill="EAF1FB"/>
          </w:tcPr>
          <w:p>
            <w:pPr>
              <w:jc w:val="center"/>
            </w:pPr>
            <w:r/>
            <w:r>
              <w:rPr>
                <w:rFonts w:ascii="微软雅黑" w:hAnsi="微软雅黑" w:eastAsia="微软雅黑"/>
                <w:b w:val="0"/>
                <w:i w:val="0"/>
                <w:color w:val="202833"/>
                <w:sz w:val="20"/>
              </w:rPr>
              <w:t>CoComply（英）</w:t>
            </w:r>
          </w:p>
        </w:tc>
        <w:tc>
          <w:tcPr>
            <w:tcW w:type="dxa" w:w="2494"/>
            <w:vAlign w:val="center"/>
            <w:shd w:val="clear" w:fill="EAF1FB"/>
          </w:tcPr>
          <w:p>
            <w:pPr>
              <w:jc w:val="center"/>
            </w:pPr>
            <w:r/>
            <w:r>
              <w:rPr>
                <w:rFonts w:ascii="微软雅黑" w:hAnsi="微软雅黑" w:eastAsia="微软雅黑"/>
                <w:b w:val="0"/>
                <w:i w:val="0"/>
                <w:color w:val="202833"/>
                <w:sz w:val="20"/>
              </w:rPr>
              <w:t>190万英镑</w:t>
            </w:r>
          </w:p>
        </w:tc>
        <w:tc>
          <w:tcPr>
            <w:tcW w:type="dxa" w:w="2381"/>
            <w:vAlign w:val="center"/>
            <w:shd w:val="clear" w:fill="EAF1FB"/>
          </w:tcPr>
          <w:p>
            <w:pPr>
              <w:jc w:val="center"/>
            </w:pPr>
            <w:r/>
            <w:r>
              <w:rPr>
                <w:rFonts w:ascii="微软雅黑" w:hAnsi="微软雅黑" w:eastAsia="微软雅黑"/>
                <w:b w:val="0"/>
                <w:i w:val="0"/>
                <w:color w:val="202833"/>
                <w:sz w:val="20"/>
              </w:rPr>
              <w:t>外部劳动力合规RegTech</w:t>
            </w:r>
          </w:p>
        </w:tc>
        <w:tc>
          <w:tcPr>
            <w:tcW w:type="dxa" w:w="2835"/>
            <w:vAlign w:val="center"/>
            <w:shd w:val="clear" w:fill="EAF1FB"/>
          </w:tcPr>
          <w:p>
            <w:pPr>
              <w:jc w:val="center"/>
            </w:pPr>
            <w:r/>
            <w:r>
              <w:rPr>
                <w:rFonts w:ascii="微软雅黑" w:hAnsi="微软雅黑" w:eastAsia="微软雅黑"/>
                <w:b w:val="0"/>
                <w:i w:val="0"/>
                <w:color w:val="202833"/>
                <w:sz w:val="20"/>
              </w:rPr>
              <w:t>NPIF–Mercia Equity Finance</w:t>
            </w:r>
          </w:p>
        </w:tc>
      </w:tr>
      <w:tr>
        <w:tc>
          <w:tcPr>
            <w:tcW w:type="dxa" w:w="2041"/>
            <w:vAlign w:val="center"/>
          </w:tcPr>
          <w:p>
            <w:pPr>
              <w:jc w:val="center"/>
            </w:pPr>
            <w:r/>
            <w:r>
              <w:rPr>
                <w:rFonts w:ascii="微软雅黑" w:hAnsi="微软雅黑" w:eastAsia="微软雅黑"/>
                <w:b w:val="0"/>
                <w:i w:val="0"/>
                <w:color w:val="202833"/>
                <w:sz w:val="20"/>
              </w:rPr>
              <w:t>Intuitivo（葡）</w:t>
            </w:r>
          </w:p>
        </w:tc>
        <w:tc>
          <w:tcPr>
            <w:tcW w:type="dxa" w:w="2494"/>
            <w:vAlign w:val="center"/>
          </w:tcPr>
          <w:p>
            <w:pPr>
              <w:jc w:val="center"/>
            </w:pPr>
            <w:r/>
            <w:r>
              <w:rPr>
                <w:rFonts w:ascii="微软雅黑" w:hAnsi="微软雅黑" w:eastAsia="微软雅黑"/>
                <w:b w:val="0"/>
                <w:i w:val="0"/>
                <w:color w:val="202833"/>
                <w:sz w:val="20"/>
              </w:rPr>
              <w:t>135万欧元 种子轮</w:t>
            </w:r>
          </w:p>
        </w:tc>
        <w:tc>
          <w:tcPr>
            <w:tcW w:type="dxa" w:w="2381"/>
            <w:vAlign w:val="center"/>
          </w:tcPr>
          <w:p>
            <w:pPr>
              <w:jc w:val="center"/>
            </w:pPr>
            <w:r/>
            <w:r>
              <w:rPr>
                <w:rFonts w:ascii="微软雅黑" w:hAnsi="微软雅黑" w:eastAsia="微软雅黑"/>
                <w:b w:val="0"/>
                <w:i w:val="0"/>
                <w:color w:val="202833"/>
                <w:sz w:val="20"/>
              </w:rPr>
              <w:t>教育科技/教师减负</w:t>
            </w:r>
          </w:p>
        </w:tc>
        <w:tc>
          <w:tcPr>
            <w:tcW w:type="dxa" w:w="2835"/>
            <w:vAlign w:val="center"/>
          </w:tcPr>
          <w:p>
            <w:pPr>
              <w:jc w:val="center"/>
            </w:pPr>
            <w:r/>
            <w:r>
              <w:rPr>
                <w:rFonts w:ascii="微软雅黑" w:hAnsi="微软雅黑" w:eastAsia="微软雅黑"/>
                <w:b w:val="0"/>
                <w:i w:val="0"/>
                <w:color w:val="202833"/>
                <w:sz w:val="20"/>
              </w:rPr>
              <w:t>Caixa Capital、Impact Innovation Fund</w:t>
            </w:r>
          </w:p>
        </w:tc>
      </w:tr>
      <w:tr>
        <w:tc>
          <w:tcPr>
            <w:tcW w:type="dxa" w:w="2041"/>
            <w:vAlign w:val="center"/>
            <w:shd w:val="clear" w:fill="EAF1FB"/>
          </w:tcPr>
          <w:p>
            <w:pPr>
              <w:jc w:val="center"/>
            </w:pPr>
            <w:r/>
            <w:r>
              <w:rPr>
                <w:rFonts w:ascii="微软雅黑" w:hAnsi="微软雅黑" w:eastAsia="微软雅黑"/>
                <w:b w:val="0"/>
                <w:i w:val="0"/>
                <w:color w:val="202833"/>
                <w:sz w:val="20"/>
              </w:rPr>
              <w:t>reebuild（奥）</w:t>
            </w:r>
          </w:p>
        </w:tc>
        <w:tc>
          <w:tcPr>
            <w:tcW w:type="dxa" w:w="2494"/>
            <w:vAlign w:val="center"/>
            <w:shd w:val="clear" w:fill="EAF1FB"/>
          </w:tcPr>
          <w:p>
            <w:pPr>
              <w:jc w:val="center"/>
            </w:pPr>
            <w:r/>
            <w:r>
              <w:rPr>
                <w:rFonts w:ascii="微软雅黑" w:hAnsi="微软雅黑" w:eastAsia="微软雅黑"/>
                <w:b w:val="0"/>
                <w:i w:val="0"/>
                <w:color w:val="202833"/>
                <w:sz w:val="20"/>
              </w:rPr>
              <w:t>300万欧元 种子轮</w:t>
            </w:r>
          </w:p>
        </w:tc>
        <w:tc>
          <w:tcPr>
            <w:tcW w:type="dxa" w:w="2381"/>
            <w:vAlign w:val="center"/>
            <w:shd w:val="clear" w:fill="EAF1FB"/>
          </w:tcPr>
          <w:p>
            <w:pPr>
              <w:jc w:val="center"/>
            </w:pPr>
            <w:r/>
            <w:r>
              <w:rPr>
                <w:rFonts w:ascii="微软雅黑" w:hAnsi="微软雅黑" w:eastAsia="微软雅黑"/>
                <w:b w:val="0"/>
                <w:i w:val="0"/>
                <w:color w:val="202833"/>
                <w:sz w:val="20"/>
              </w:rPr>
              <w:t>建筑后台流程AI自动化</w:t>
            </w:r>
          </w:p>
        </w:tc>
        <w:tc>
          <w:tcPr>
            <w:tcW w:type="dxa" w:w="2835"/>
            <w:vAlign w:val="center"/>
            <w:shd w:val="clear" w:fill="EAF1FB"/>
          </w:tcPr>
          <w:p>
            <w:pPr>
              <w:jc w:val="center"/>
            </w:pPr>
            <w:r/>
            <w:r>
              <w:rPr>
                <w:rFonts w:ascii="微软雅黑" w:hAnsi="微软雅黑" w:eastAsia="微软雅黑"/>
                <w:b w:val="0"/>
                <w:i w:val="0"/>
                <w:color w:val="202833"/>
                <w:sz w:val="20"/>
              </w:rPr>
              <w:t>Fortino Ventures</w:t>
            </w:r>
          </w:p>
        </w:tc>
      </w:tr>
    </w:tbl>
    <w:p>
      <w:pPr>
        <w:spacing w:after="40"/>
      </w:pP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SAP收TechWolf、Workday收C1.ai：HR系统正在变成AI治理入口</w:t>
      </w:r>
    </w:p>
    <w:p>
      <w:pPr>
        <w:spacing w:after="140" w:before="0" w:line="312" w:lineRule="auto"/>
        <w:ind w:left="113"/>
      </w:pPr>
      <w:r>
        <w:rPr>
          <w:rFonts w:ascii="微软雅黑" w:hAnsi="微软雅黑" w:eastAsia="微软雅黑"/>
          <w:b w:val="0"/>
          <w:i w:val="0"/>
          <w:color w:val="202833"/>
          <w:sz w:val="22"/>
        </w:rPr>
        <w:t>10月6日，SAP宣布已与比利时AI公司TechWolf签署收购协议，计划把其Work Intelligence技术、专有数据模型与AI研发能力纳入SAP产品体系，交易预计2026年第四季度完成，仍需监管批准。TechWolf做的核心事情是“技能管理”——把员工的技能画像从简历文本变成可计算的结构化数据。</w:t>
      </w:r>
    </w:p>
    <w:p>
      <w:pPr>
        <w:spacing w:after="140" w:before="0" w:line="312" w:lineRule="auto"/>
        <w:ind w:left="113"/>
      </w:pPr>
      <w:r>
        <w:rPr>
          <w:rFonts w:ascii="微软雅黑" w:hAnsi="微软雅黑" w:eastAsia="微软雅黑"/>
          <w:b w:val="0"/>
          <w:i w:val="0"/>
          <w:color w:val="202833"/>
          <w:sz w:val="22"/>
        </w:rPr>
        <w:t>10月13日，Workday在Workday Rising 2026大会上宣布已签署最终协议，计划收购AI身份与访问权限治理公司C1.ai，把员工与AI Agent的身份管理、系统访问授权和权限审计整合进Workday平台。两笔收购指向同一个判断：当AI Agent开始“接手工作”，HR系统就不再只是管人的系统，而要管“谁有权限让哪个Agent做什么”。</w:t>
      </w:r>
    </w:p>
    <w:p>
      <w:pPr>
        <w:spacing w:after="140" w:before="0" w:line="312" w:lineRule="auto"/>
        <w:ind w:left="113"/>
      </w:pPr>
      <w:r>
        <w:rPr>
          <w:rFonts w:ascii="微软雅黑" w:hAnsi="微软雅黑" w:eastAsia="微软雅黑"/>
          <w:b w:val="0"/>
          <w:i w:val="0"/>
          <w:color w:val="202833"/>
          <w:sz w:val="22"/>
        </w:rPr>
        <w:t>配套的两个研究也印证了需求端的焦虑。IBM 2026全球CHRO研究显示：60%的员工担心AI导致技能退化，只有26%的企业真正明确了人与AI的工作边界，但29%的工作流已经开始使用AI Agents。Dropbox则走得更远——据Fast Company 2026年10月25日报道，它正在探索把记忆训练、注意力练习和益智活动引入员工发展体系，理由是：如果AI替员工完成了越来越多的工作，员工自己的思考能力会不会退化。</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外服控股：净利+8.00%，但经营现金流-96.06%</w:t>
      </w:r>
    </w:p>
    <w:p>
      <w:pPr>
        <w:spacing w:after="140" w:before="0" w:line="312" w:lineRule="auto"/>
        <w:ind w:left="113"/>
      </w:pPr>
      <w:r>
        <w:rPr>
          <w:rFonts w:ascii="微软雅黑" w:hAnsi="微软雅黑" w:eastAsia="微软雅黑"/>
          <w:b w:val="0"/>
          <w:i w:val="0"/>
          <w:color w:val="202833"/>
          <w:sz w:val="22"/>
        </w:rPr>
        <w:t>10月26日，外服控股发布2026年第三季度报告：年初至报告期末营业收入约196.01亿元，同比增长5.58%；归母净利润约5.63亿元，同比增长8.00%；扣非净利润约3.61亿元，同比下降2.16%；经营活动产生的现金流量净额约1668.74万元，同比下降96.06%，公司解释为主要系部分客户服务费结算周期延长以及业务执行时间性差异所致；基本每股收益0.2468元。</w:t>
      </w:r>
    </w:p>
    <w:p>
      <w:pPr>
        <w:spacing w:after="140" w:before="0" w:line="312" w:lineRule="auto"/>
        <w:ind w:left="113"/>
      </w:pPr>
      <w:r>
        <w:rPr>
          <w:rFonts w:ascii="微软雅黑" w:hAnsi="微软雅黑" w:eastAsia="微软雅黑"/>
          <w:b w:val="0"/>
          <w:i w:val="0"/>
          <w:color w:val="202833"/>
          <w:sz w:val="22"/>
        </w:rPr>
        <w:t>单季度看结构更好一些：Q3营业收入约65.58亿元、同比增长3.75%，归母净利润约1.65亿元、同比增长20.10%，但扣非净利润约1.11亿元、同比下降6.25%。同日公司公告，总股本由2283496485股变更为2283417434股，注册资本同步调整。</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读这份财报要抓两个背离：净利增速（+8.00%）与扣非增速（-2.16%）背离，说明非经常性损益在托着利润；归母净利增速与经营现金流（-96.06%）背离，说明收入质量在下降。对以“代收代付”为主要资金流的头部人力资源服务商，现金流是比营收更早的预警指标。</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德生科技：人社运营+31.93%，转型的代价与形状都清楚了</w:t>
      </w:r>
    </w:p>
    <w:p>
      <w:pPr>
        <w:spacing w:after="140" w:before="0" w:line="312" w:lineRule="auto"/>
        <w:ind w:left="113"/>
      </w:pPr>
      <w:r>
        <w:rPr>
          <w:rFonts w:ascii="微软雅黑" w:hAnsi="微软雅黑" w:eastAsia="微软雅黑"/>
          <w:b w:val="0"/>
          <w:i w:val="0"/>
          <w:color w:val="202833"/>
          <w:sz w:val="22"/>
        </w:rPr>
        <w:t>德生科技2026年前三季度营业收入3.16亿元，人社运营及大数据服务收入同比大增31.93%，板块营收占比突破40%、跃升为第一大收入来源；经营活动现金流净额同比提升7.50%，资产负债率维持在24.28%。代价是利润：第三季度单季营业收入9869.59万元，亏损扩大至3073万元，净利润同比下降589.88%。</w:t>
      </w:r>
    </w:p>
    <w:p>
      <w:pPr>
        <w:spacing w:after="140" w:before="0" w:line="312" w:lineRule="auto"/>
        <w:ind w:left="113"/>
      </w:pPr>
      <w:r>
        <w:rPr>
          <w:rFonts w:ascii="微软雅黑" w:hAnsi="微软雅黑" w:eastAsia="微软雅黑"/>
          <w:b w:val="0"/>
          <w:i w:val="0"/>
          <w:color w:val="202833"/>
          <w:sz w:val="22"/>
        </w:rPr>
        <w:t>业务形状已经能看清。医疗端，就医无感支付平台已在广州实现全市三级公立医院全覆盖，覆盖近300家医疗机构、签约用户接近600万人，正在向商保理赔、健康管理延伸。数据要素端，公司作为广州可信数据空间民生服务专区建设运营主体，拿到数据经纪人资质，多款民生类数据产品在省级数据交易所挂牌。AI端，自研政务大模型已完成网信备案，与信创数据库龙头合作搭建民生AI数字底座。</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这是一家把“一次性项目交付”换成“常年运营收费”的公司，短期报表必然难看。判断这类转型是否成立，别看利润，看两条：人社运营收入占比是否持续爬升、经营现金流是否在结算周期拉长的行业背景下还能改善。本周这两个指标都是正向的。</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中公教育：成本降5.57%、研发增19.27%，“AI+明师”是一门什么生意</w:t>
      </w:r>
    </w:p>
    <w:p>
      <w:pPr>
        <w:spacing w:after="140" w:before="0" w:line="312" w:lineRule="auto"/>
        <w:ind w:left="113"/>
      </w:pPr>
      <w:r>
        <w:rPr>
          <w:rFonts w:ascii="微软雅黑" w:hAnsi="微软雅黑" w:eastAsia="微软雅黑"/>
          <w:b w:val="0"/>
          <w:i w:val="0"/>
          <w:color w:val="202833"/>
          <w:sz w:val="22"/>
        </w:rPr>
        <w:t>中公教育10月26日晚发布2026年三季报：前三季度营业收入15.57亿元，归母净利润5006.71万元，第三季度营业收入3.87亿元。营业总成本14.5亿元、同比减少5.57%，其中Q3成本4.11亿元、同比减少13.27%、环比减少23.02%；同期Q3研发投入4137.85万元、同比增长1.15%、环比增长19.27%；前三季度经营性现金流同比增长1.55%。</w:t>
      </w:r>
    </w:p>
    <w:p>
      <w:pPr>
        <w:spacing w:after="140" w:before="0" w:line="312" w:lineRule="auto"/>
        <w:ind w:left="113"/>
      </w:pPr>
      <w:r>
        <w:rPr>
          <w:rFonts w:ascii="微软雅黑" w:hAnsi="微软雅黑" w:eastAsia="微软雅黑"/>
          <w:b w:val="0"/>
          <w:i w:val="0"/>
          <w:color w:val="202833"/>
          <w:sz w:val="22"/>
        </w:rPr>
        <w:t>一个值得注意的动作组合：一边压缩非核心业务、砍成本，一边加研发。产品侧，公司成立中公研究院引入清华、北大等高校教授团队，推出国考新大纲政治素养系列课程；技术侧上线“中公ai智学app”、面向2027届考生的“AI+明师”新质笔试教学融合系统、内嵌于AI就业学习机的督学产品，并在全国分校线下授课中推行“AI+明师双轨教学”“AI+班主任双重督学”。</w:t>
      </w:r>
    </w:p>
    <w:p>
      <w:pPr>
        <w:spacing w:after="140" w:before="0" w:line="312" w:lineRule="auto"/>
        <w:ind w:left="113"/>
      </w:pPr>
      <w:r>
        <w:rPr>
          <w:rFonts w:ascii="微软雅黑" w:hAnsi="微软雅黑" w:eastAsia="微软雅黑"/>
          <w:b w:val="0"/>
          <w:i w:val="0"/>
          <w:color w:val="202833"/>
          <w:sz w:val="22"/>
        </w:rPr>
        <w:t>把这套动作放进本周的国考数据里看会更清楚：2027国考过审302.5万人，是2019年以来连续7年上涨后的首次回落，比上年度少近70万；但平均竞争比仍达85:1，最热岗位超6000:1。降温的是“报名人数”，不是“参培意愿”——这正是教培机构把成本从场地转向AI课件的动机。</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本周资本的动作指向同一个方向：为“能证明效率提升的AI”付钱，为“只能讲规模的平台”压估值。二级市场的三份三季报也印证了这一点——增长都在运营服务与AI产品上，压力都在现金流与扣非利润上。</w:t>
      </w:r>
    </w:p>
    <w:p>
      <w:pPr>
        <w:spacing w:after="120" w:before="240" w:line="312" w:lineRule="auto"/>
        <w:shd w:val="clear" w:fill="EAF1FB"/>
      </w:pPr>
      <w:r>
        <w:rPr>
          <w:rFonts w:ascii="微软雅黑" w:hAnsi="微软雅黑" w:eastAsia="微软雅黑"/>
          <w:b/>
          <w:i w:val="0"/>
          <w:color w:val="1E4E9C"/>
          <w:sz w:val="30"/>
        </w:rPr>
        <w:t>◆ 重点事件深度解读</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深度一：微软6万人自愿离职——AI替代从“预测”变成了“排期”</w:t>
      </w:r>
    </w:p>
    <w:p>
      <w:pPr>
        <w:spacing w:after="140" w:before="0" w:line="312" w:lineRule="auto"/>
        <w:ind w:left="113"/>
      </w:pPr>
      <w:r>
        <w:rPr>
          <w:rFonts w:ascii="微软雅黑" w:hAnsi="微软雅黑" w:eastAsia="微软雅黑"/>
          <w:b w:val="0"/>
          <w:i w:val="0"/>
          <w:color w:val="202833"/>
          <w:sz w:val="22"/>
        </w:rPr>
        <w:t>看好这件事需要三个数字并列：6万个名额、超过员工总数四分之一、年内第三轮。微软并非经营困难——它给出的2027财年第一财季营收指引是898.5亿至909.5亿美元、同比增长16%至17%；同期资本支出预计约500亿美元。钱没有少，只是不再投在人身上。截至6月底员工总数22.3万人，与2022年基本持平，四年零增长，而AI相关资本支出翻了几番。首席人事官Amy Coleman在内部信里的表述很直白：为各部门提供“调整员工队伍以适应需求变化”的另一种途径。</w:t>
      </w:r>
    </w:p>
    <w:p>
      <w:pPr>
        <w:spacing w:after="140" w:before="0" w:line="312" w:lineRule="auto"/>
        <w:ind w:left="113"/>
      </w:pPr>
      <w:r>
        <w:rPr>
          <w:rFonts w:ascii="微软雅黑" w:hAnsi="微软雅黑" w:eastAsia="微软雅黑"/>
          <w:b w:val="0"/>
          <w:i w:val="0"/>
          <w:color w:val="202833"/>
          <w:sz w:val="22"/>
        </w:rPr>
        <w:t>自愿离职方案通常面向资历较深、薪酬成本较高的员工，条件比直接裁员更优厚，但公司并非来者不拒——顶尖人才申请时会被尝试挽留。这个细节说明了本轮替代的真实形状：不是“裁掉最差的”，而是“换掉最贵的”。对HR的第一层含义是薪酬结构将被强行重置；第二层含义是继任计划必须重做，因为走的人恰恰是带团队的那一层。</w:t>
      </w:r>
    </w:p>
    <w:p>
      <w:pPr>
        <w:spacing w:after="140" w:before="0" w:line="312" w:lineRule="auto"/>
        <w:ind w:left="113"/>
      </w:pPr>
      <w:r>
        <w:rPr>
          <w:rFonts w:ascii="微软雅黑" w:hAnsi="微软雅黑" w:eastAsia="微软雅黑"/>
          <w:b w:val="0"/>
          <w:i w:val="0"/>
          <w:color w:val="202833"/>
          <w:sz w:val="22"/>
        </w:rPr>
        <w:t>国办29号文恰好在这一周落地，两者形成了完整的因果闭环：技术侧的替代正在加速排期，制度侧给出的应对是“失业缓冲期”。但请注意时间差——企业在做的是季度性的人员决策，政策给出的是“探索”级别的方向。企业不会等技术替代的评估机制建好再动手，这中间的三到五年，就是这一轮HR要独自面对的窗口期。</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深度二：每100元收入花97.4元——“失业缓冲期”的钱到底从哪来</w:t>
      </w:r>
    </w:p>
    <w:p>
      <w:pPr>
        <w:spacing w:after="140" w:before="0" w:line="312" w:lineRule="auto"/>
        <w:ind w:left="113"/>
      </w:pPr>
      <w:r>
        <w:rPr>
          <w:rFonts w:ascii="微软雅黑" w:hAnsi="微软雅黑" w:eastAsia="微软雅黑"/>
          <w:b w:val="0"/>
          <w:i w:val="0"/>
          <w:color w:val="202833"/>
          <w:sz w:val="22"/>
        </w:rPr>
        <w:t>如果把29号文读成一份“保护劳动者的文件”，会低估它的难度。它更像一份“要求企业承担转型责任”的文件，而责任最终要落在钱上。先把失业保险基金的账摊开：2026年前8个月收入1453亿元、支出1415.6亿元，结余率2.6%。2025年全年的账更能看清结构——总收入2074.73亿元，其中保险费收入1955.51亿元占94.3%，财政补贴只有7.67亿元、利息54.44亿元；总支出2165亿元，其中保生活待遇1616亿元占74.6%，稳岗返还336亿元、一次性扩岗补助17亿元、技能提升补贴40亿元。收入高度依赖保险费，而费率长期压在1%的低位，2025年降费率为市场主体减负1874亿元，相当于同年保险费收入的95.8%。</w:t>
      </w:r>
    </w:p>
    <w:p>
      <w:pPr>
        <w:spacing w:after="140" w:before="0" w:line="312" w:lineRule="auto"/>
        <w:ind w:left="113"/>
      </w:pPr>
      <w:r>
        <w:rPr>
          <w:rFonts w:ascii="微软雅黑" w:hAnsi="微软雅黑" w:eastAsia="微软雅黑"/>
          <w:b w:val="0"/>
          <w:i w:val="0"/>
          <w:color w:val="202833"/>
          <w:sz w:val="22"/>
        </w:rPr>
        <w:t>缓冲能力在快速变薄：备付月数2023年还有约26个月（结余3213亿元），2024年落到22个月，2025年年度收支转为赤字、缺口91亿元，备付月数进一步收窄至18个月左右。武汉大学社会保障研究中心的长期精算给出了一个更硬的结论：若不将灵活就业人员纳入失业保险，基金支出增速将明显快于收入，2044年起当期结余将持续为负。</w:t>
      </w:r>
    </w:p>
    <w:p>
      <w:pPr>
        <w:spacing w:after="140" w:before="0" w:line="312" w:lineRule="auto"/>
        <w:ind w:left="113"/>
      </w:pPr>
      <w:r>
        <w:rPr>
          <w:rFonts w:ascii="微软雅黑" w:hAnsi="微软雅黑" w:eastAsia="微软雅黑"/>
          <w:b w:val="0"/>
          <w:i w:val="0"/>
          <w:color w:val="202833"/>
          <w:sz w:val="22"/>
        </w:rPr>
        <w:t>更麻烦的是政策工具本身的效果存疑。上海财经大学公共管理学院副教授唐珏团队基于全国上市公司数据的研究发现，稳岗返还对企业减少裁员的作用非常有限——政策门槛是“裁员率不超过上限”，覆盖的主要是本来裁员就少、用工稳定的企业；对真在裁员的企业，返还金额相对用人成本微不足道。此外裁员率以参保人数为分母，企业可以通过调整参保人数让比例“看起来”达标。她的建议很直接：在稳岗返还效果不及预期的情况下，可考虑取消或减少这一政策力度，把钱结余出来用于保障职工生活。</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所以“失业缓冲期”真正的政策难题不是要不要做，而是三件事：钱从哪个池子出（失业保险结余、财政、还是企业自担）、给谁（被AI替代的初级白领目前并不在失业保险的重点覆盖画像里）、给多久（转型培训的周期普遍长于失业保险金的领取期限）。地方层面已经在试——四川省级统筹后，全省失业金标准从最低工资的80%统一提高到90%，省内差距在缩小；但省际差距仍在，学界建议借鉴养老保险全国统筹的调剂机制，并建立与备付月数挂钩的动态费率调节。对HR从业者，这意味着未来两年要密切关注属地基金的备付能力，它直接决定当地稳岗返还与技能提升补贴还能不能发。</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深度三：476.1万境外从业人员——出海就业是“出口”还是“出路”</w:t>
      </w:r>
    </w:p>
    <w:p>
      <w:pPr>
        <w:spacing w:after="140" w:before="0" w:line="312" w:lineRule="auto"/>
        <w:ind w:left="113"/>
      </w:pPr>
      <w:r>
        <w:rPr>
          <w:rFonts w:ascii="微软雅黑" w:hAnsi="微软雅黑" w:eastAsia="微软雅黑"/>
          <w:b w:val="0"/>
          <w:i w:val="0"/>
          <w:color w:val="202833"/>
          <w:sz w:val="22"/>
        </w:rPr>
        <w:t>先看体量。境外中资企业从业人员476.1万人，其中外方雇员296.5万、中方外派约180万。这意味着中资出海已经在海外创造了近300万个本地就业岗位——这是一个此前很少被计入“中国人力资源行业”口径的市场，而它恰恰是劳务输出机构真正的增量所在。</w:t>
      </w:r>
    </w:p>
    <w:p>
      <w:pPr>
        <w:spacing w:after="140" w:before="0" w:line="312" w:lineRule="auto"/>
        <w:ind w:left="113"/>
      </w:pPr>
      <w:r>
        <w:rPr>
          <w:rFonts w:ascii="微软雅黑" w:hAnsi="微软雅黑" w:eastAsia="微软雅黑"/>
          <w:b w:val="0"/>
          <w:i w:val="0"/>
          <w:color w:val="202833"/>
          <w:sz w:val="22"/>
        </w:rPr>
        <w:t>再看结构性的错配。非洲：基建、制造、农业项目缺口大，但缺的是“工程技术+当地语言+法律风俗”三合一的复合型人；同时本地劳动力基础技能薄弱，企业必须自建培训体系，人力成本被推高。中亚：合作领域已从农业和大型工业项目扩展到商贸流通、住宿餐饮、跨境物流、数字服务，岗位类型变了，但国内赴中亚的渠道分散、缺标准化对接平台，小语种人才供给有限。拉美：新能源、矿产、通信、跨境电商催生工程技术、跨境运营、本地化营销岗位，门槛是高技能。三个市场，三种缺口，没有一种能靠“多送人”解决。</w:t>
      </w:r>
    </w:p>
    <w:p>
      <w:pPr>
        <w:spacing w:after="140" w:before="0" w:line="312" w:lineRule="auto"/>
        <w:ind w:left="113"/>
      </w:pPr>
      <w:r>
        <w:rPr>
          <w:rFonts w:ascii="微软雅黑" w:hAnsi="微软雅黑" w:eastAsia="微软雅黑"/>
          <w:b w:val="0"/>
          <w:i w:val="0"/>
          <w:color w:val="202833"/>
          <w:sz w:val="22"/>
        </w:rPr>
        <w:t>第三看政策定位。与会专家的表述值得逐字读：“青年境外就业不能简单作为化解国内就业压力的出口，必须坚持风险前置原则。”这句话实际上否掉了把出海当泄洪道的思路。配套提法是把海外市场需求反馈给高校与职业院校，做“前置匹配”——也就是先改专业和课程，再谈输送。同时牛华勇提出的三层能力框架（专业技术／语言与国别认知／风险素养）第一次把“风险素养”写进了出海人才标准，包括人身安全防范、冲突应对、心理调适、应急避险。</w:t>
      </w:r>
    </w:p>
    <w:p>
      <w:pPr>
        <w:spacing w:after="140" w:before="0" w:line="312" w:lineRule="auto"/>
        <w:ind w:left="113"/>
      </w:pPr>
      <w:r>
        <w:rPr>
          <w:rFonts w:ascii="微软雅黑" w:hAnsi="微软雅黑" w:eastAsia="微软雅黑"/>
          <w:b w:val="0"/>
          <w:i w:val="0"/>
          <w:color w:val="202833"/>
          <w:sz w:val="22"/>
        </w:rPr>
        <w:t>最后看闭环缺口。唐代盛指出，青年回国后面临海外工作经历认定、职业技能证书国内互认、再就业求职支持三重缺失。这才是“出海意愿不足”的真实原因——不是不敢去，是怕回不来。谁能解决回国端的履历折算与证书互认，谁就掌握了这个市场的定价权。叠加12月1日施行的《对外投资管理办法》把“居民个人”纳入投资者范畴，个人跨境就业与跨境经营的边界将进一步模糊，合规服务会成为劳务输出机构下一个真正的利润池。</w:t>
      </w:r>
    </w:p>
    <w:p>
      <w:pPr>
        <w:spacing w:after="120" w:before="240" w:line="312" w:lineRule="auto"/>
        <w:shd w:val="clear" w:fill="EAF1FB"/>
      </w:pPr>
      <w:r>
        <w:rPr>
          <w:rFonts w:ascii="微软雅黑" w:hAnsi="微软雅黑" w:eastAsia="微软雅黑"/>
          <w:b/>
          <w:i w:val="0"/>
          <w:color w:val="1E4E9C"/>
          <w:sz w:val="30"/>
        </w:rPr>
        <w:t>◆ 趋势研判与风险提示</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趋势一：AI替代进入“分层执行”阶段，最先被重排的是中间管理层</w:t>
      </w:r>
    </w:p>
    <w:p>
      <w:pPr>
        <w:spacing w:after="140" w:before="0" w:line="312" w:lineRule="auto"/>
        <w:ind w:left="113"/>
      </w:pPr>
      <w:r>
        <w:rPr>
          <w:rFonts w:ascii="微软雅黑" w:hAnsi="微软雅黑" w:eastAsia="微软雅黑"/>
          <w:b w:val="0"/>
          <w:i w:val="0"/>
          <w:color w:val="202833"/>
          <w:sz w:val="22"/>
        </w:rPr>
        <w:t>微软这轮自愿离职瞄准的是“资历深、薪酬成本高”的员工，Meta把7000余人转往AI团队而不是直接裁掉，亚马逊裁的是企业岗位（非仓储一线）。三家公司的共同点是：不动最底层的一线运力，也不动最顶层的AI核心，动的是中间那一层。对HR的直接含义是——组织设计要从“金字塔”改成“哑铃”，中间层的价值必须重新论证为“判断力与带教能力”，而不是“信息传递”。</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趋势二：保障体系从“就业保护”转向“能力保护”</w:t>
      </w:r>
    </w:p>
    <w:p>
      <w:pPr>
        <w:spacing w:after="140" w:before="0" w:line="312" w:lineRule="auto"/>
        <w:ind w:left="113"/>
      </w:pPr>
      <w:r>
        <w:rPr>
          <w:rFonts w:ascii="微软雅黑" w:hAnsi="微软雅黑" w:eastAsia="微软雅黑"/>
          <w:b w:val="0"/>
          <w:i w:val="0"/>
          <w:color w:val="202833"/>
          <w:sz w:val="22"/>
        </w:rPr>
        <w:t>本周三条政策线索指向同一个转向：29号文要求“实施人工智能专项培训计划”“加大转型转岗就业支持力度”；失业保险基金的支出结构里技能提升补贴只有40亿元（占1.8%），远低于保生活待遇的1616亿元；武汉把灵活就业者拉进公积金体系、七平台推进医保参保。三件事的共同逻辑是——不再承诺“保住岗位”，而是承诺“保住能力与基本保障”。这对HR服务商是产品机会：转岗培训、技能认证、保障代缴，会比招聘服务更抗周期。</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趋势三：出海用工从“项目外派”走向“制度性就业”</w:t>
      </w:r>
    </w:p>
    <w:p>
      <w:pPr>
        <w:spacing w:after="140" w:before="0" w:line="312" w:lineRule="auto"/>
        <w:ind w:left="113"/>
      </w:pPr>
      <w:r>
        <w:rPr>
          <w:rFonts w:ascii="微软雅黑" w:hAnsi="微软雅黑" w:eastAsia="微软雅黑"/>
          <w:b w:val="0"/>
          <w:i w:val="0"/>
          <w:color w:val="202833"/>
          <w:sz w:val="22"/>
        </w:rPr>
        <w:t>476.1万人的存量、5.8万家境外企业、180万中方外派——这个规模已经不能再用“劳务合作”来管理。本周的三个信号叠加：劳动经济学会把“青年境外就业”列入季度就业形势分析议题、《对外投资管理办法》把居民个人纳入投资者、商务部拟对AI等技术出口设限。方向很清楚：出海用工正在被纳入正式的制度框架，标准化、可认证、可回流是下一阶段的竞争点。</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 风险提示一：AI替代的制度承接存在3—5年真空期</w:t>
      </w:r>
    </w:p>
    <w:p>
      <w:pPr>
        <w:spacing w:after="140" w:before="0" w:line="312" w:lineRule="auto"/>
        <w:ind w:left="113"/>
      </w:pPr>
      <w:r>
        <w:rPr>
          <w:rFonts w:ascii="微软雅黑" w:hAnsi="微软雅黑" w:eastAsia="微软雅黑"/>
          <w:b w:val="0"/>
          <w:i w:val="0"/>
          <w:color w:val="202833"/>
          <w:sz w:val="22"/>
        </w:rPr>
        <w:t>29号文的失业缓冲期是“鼓励探索”，就业风险评估机制尚在建立，失业保险基金备付月数已降至18个月左右，且稳岗返还的实际效果被研究质疑。企业侧的替代决策是季度级的，制度侧的承接是年计甚至五年计的。这个时间差意味着：被替代的初级白领在短期内既拿不到充分的失业保障，也难以获得有效的转岗培训。HR在设计与员工沟通方案时，不宜过度承诺“政策会兜住”。</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 风险提示二：灵活用工的保障成本将出现一次性抬升</w:t>
      </w:r>
    </w:p>
    <w:p>
      <w:pPr>
        <w:spacing w:after="140" w:before="0" w:line="312" w:lineRule="auto"/>
        <w:ind w:left="113"/>
      </w:pPr>
      <w:r>
        <w:rPr>
          <w:rFonts w:ascii="微软雅黑" w:hAnsi="微软雅黑" w:eastAsia="微软雅黑"/>
          <w:b w:val="0"/>
          <w:i w:val="0"/>
          <w:color w:val="202833"/>
          <w:sz w:val="22"/>
        </w:rPr>
        <w:t>医保“个人缴费+平台补贴”、公积金自愿缴存、职业伤害保障试点扩围，三项同时推进。以骑手为例：平台养老补贴约700多元/月，养老加医疗合计约2000多元/月，医保部分目前多由个人承担；网约车司机自缴灵活就业社保约1400元/月。若补贴范围从养老扩展到医疗，单个活跃骑手的平台侧成本将明显上升。对以“低成本运力”为商业模型的平台，这是一次结构性的毛利重估，需提前测算而非等到政策强制。</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 风险提示三：招聘黑产与大促窗口高度同步，且已转向私域</w:t>
      </w:r>
    </w:p>
    <w:p>
      <w:pPr>
        <w:spacing w:after="140" w:before="0" w:line="312" w:lineRule="auto"/>
        <w:ind w:left="113"/>
      </w:pPr>
      <w:r>
        <w:rPr>
          <w:rFonts w:ascii="微软雅黑" w:hAnsi="微软雅黑" w:eastAsia="微软雅黑"/>
          <w:b w:val="0"/>
          <w:i w:val="0"/>
          <w:color w:val="202833"/>
          <w:sz w:val="22"/>
        </w:rPr>
        <w:t>本周两起官方提示指向同一件事：前程无忧归纳的双十一招聘黑产三特征（借势伪装、私域闭环、速战速决），以及五部门点名的“央国企内推”骗局（公域引流、私域转化、付费内推）。共同点是都脱离平台监管、都在事前收费、都用“低门槛高回报”做诱饵。企业侧的风险不只是品牌被冒用——一旦求职者因“某公司名义”被骗，雇主品牌损失远大于维权成本。建议在大促与秋招窗口期主动做一轮虚假招聘监测。</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 风险提示四：人力资源服务商的现金流质量正在恶化</w:t>
      </w:r>
    </w:p>
    <w:p>
      <w:pPr>
        <w:spacing w:after="140" w:before="0" w:line="312" w:lineRule="auto"/>
        <w:ind w:left="113"/>
      </w:pPr>
      <w:r>
        <w:rPr>
          <w:rFonts w:ascii="微软雅黑" w:hAnsi="微软雅黑" w:eastAsia="微软雅黑"/>
          <w:b w:val="0"/>
          <w:i w:val="0"/>
          <w:color w:val="202833"/>
          <w:sz w:val="22"/>
        </w:rPr>
        <w:t>外服控股前三季度经营现金流1668.74万元、同比-96.06%，公司归因于客户服务费结算周期延长；扣非净利润同比-2.16%，与归母净利+8.00%形成背离。这不是个案，而是行业性的账期信号——当客户（尤其是大企业客户）延长付款周期，以代收代付为主的人力资源服务商会同时承受规模增长与现金流失血。评估这类标的时，经营性现金流与扣非利润的权重应高于营收增速。</w:t>
      </w:r>
    </w:p>
    <w:p>
      <w:pPr>
        <w:spacing w:after="40"/>
      </w:pPr>
    </w:p>
    <w:p>
      <w:pPr>
        <w:spacing w:after="0" w:line="312" w:lineRule="auto"/>
        <w:shd w:val="clear" w:fill="D62B1F"/>
      </w:pPr>
      <w:r>
        <w:rPr>
          <w:rFonts w:ascii="微软雅黑" w:hAnsi="微软雅黑" w:eastAsia="微软雅黑"/>
          <w:b/>
          <w:i w:val="0"/>
          <w:color w:val="FFFFFF"/>
          <w:sz w:val="23"/>
        </w:rPr>
        <w:t>一句话判断：</w:t>
      </w:r>
    </w:p>
    <w:p>
      <w:pPr>
        <w:spacing w:after="200" w:line="312" w:lineRule="auto"/>
        <w:shd w:val="clear" w:fill="FDEAEA"/>
      </w:pPr>
      <w:r>
        <w:rPr>
          <w:rFonts w:ascii="微软雅黑" w:hAnsi="微软雅黑" w:eastAsia="微软雅黑"/>
          <w:b/>
          <w:i w:val="0"/>
          <w:color w:val="D62B1F"/>
          <w:sz w:val="23"/>
        </w:rPr>
        <w:t>这一周真正的新闻不是“AI又替代了多少岗位”，而是替代的账单第一次被摆到台面上：企业用自愿离职换资本开支，政策用“鼓励探索”换缓冲时间，基金用18个月的备付换改革窗口。三者都没错，但三者加起来还不够。2027年HR行业最大的分水岭，将出现在“谁能把人的能力变成可迁移资产”这件事上——招聘平台卖的是匹配，出海服务卖的是通道，而下一轮真正稀缺的，是把人从一份岗位安全转移到另一份岗位的能力。</w:t>
      </w:r>
    </w:p>
    <w:p>
      <w:pPr>
        <w:spacing w:after="40" w:before="0" w:line="312" w:lineRule="auto"/>
        <w:jc w:val="center"/>
      </w:pPr>
      <w:r>
        <w:rPr>
          <w:rFonts w:ascii="微软雅黑" w:hAnsi="微软雅黑" w:eastAsia="微软雅黑"/>
          <w:b w:val="0"/>
          <w:i w:val="0"/>
          <w:color w:val="5C6B7A"/>
          <w:sz w:val="17"/>
        </w:rPr>
        <w:t>—— 本报告由AI自动抓取生成，数据来源为公开信息，仅供参考，不构成任何投资建议 ——</w:t>
      </w:r>
    </w:p>
    <w:p>
      <w:pPr>
        <w:spacing w:after="120" w:before="0" w:line="312" w:lineRule="auto"/>
        <w:jc w:val="center"/>
      </w:pPr>
      <w:r>
        <w:rPr>
          <w:rFonts w:ascii="微软雅黑" w:hAnsi="微软雅黑" w:eastAsia="微软雅黑"/>
          <w:b w:val="0"/>
          <w:i w:val="0"/>
          <w:color w:val="5C6B7A"/>
          <w:sz w:val="17"/>
        </w:rPr>
        <w:t>生成时间：2026-10-27 07:00</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