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报告周期：2026年10月22日 — 10月29日（滚动一周）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本周的主线从“政策定调”切换到“数据验证”。10月23日国办29号文把AI就业影响前置到审批环节之后，本周十余省份的“十五五”就业专项规划集体落地，把“人工智能就业影响监测评估机制”写进了地方文件——政策从中央宣示进入地方执行层。与此同时，三家A股人力资源龙头的三季报在同一周出齐，画出一条清晰的分化曲线：科锐国际扣非净利增长24.02%，外服控股净利增长8.00%但经营现金流下滑96.06%，北京人力净利下滑48.9%。同一个行业、同一个季度，三家头部公司走出三种曲线，说明人力资源服务的竞争已经从“规模扩张”转向“结构质量”。</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十余省份密集印发“十五五”就业专项规划，广东、北京、山东明确探索建立人工智能就业影响监测评估机制，湖北、辽宁、四川强化AI就业创造效应</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智联招聘×上财《2026全国主要城市数字经济人才引力指数报告》：北京88.76分登顶，上海86.64、深圳86.33；AI工程师薪酬溢价五至六成，深圳人才净流入率3.49%全国第一</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科锐国际前三季营收120.65亿元（+12.18%），扣非净利1.95亿元（+24.02%）；Q3单季营收39.46亿元（+7.24%）</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北京人力前三季营收339.2亿元（+0.3%），归母净利5.14亿元（-48.9%），Q3单季净利1.04亿元（-46.3%），经营现金流-9425万元</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外服控股前三季营收196.01亿元（+5.58%），净利5.63亿元（+8.00%），但经营现金流净额1668.74万元（-96.06%），扣非净利同比-2.16%</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前程无忧《2026“出海人才”市场洞察》：深圳出海职位占比由24.4%降至20.4%，上海由12.5%升至14.5%，高级技术骨干占紧缺人才67.7%</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境外非金融中资企业从业人员476.1万人，外方雇员296.5万、中方外派约180万；专家定调“青年境外就业不能简单作为国内就业压力的出口”</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深圳以“灵活办公”承接APEC会议周：荣耀7000余人线上线下融合办公，影石分批轮流居家，大眼橙全员带薪年假连休9天</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2027国考过审302.5万人，为2019年以来连续7年上涨后首次回落，较上年度减少近70万人</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国际HR科技投融资：ADP 2027财年Q1营收55亿美元（+6%），Avante获3000万美元A轮，Firstwork获1500万美元A轮，Pigment获2.5亿美元E轮</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十余省份“十五五”就业规划密集落地，AI就业影响监测进入地方文件</w:t>
      </w:r>
    </w:p>
    <w:p>
      <w:pPr>
        <w:spacing w:after="140" w:before="0" w:line="312" w:lineRule="auto"/>
        <w:ind w:left="113"/>
      </w:pPr>
      <w:r>
        <w:rPr>
          <w:rFonts w:ascii="微软雅黑" w:hAnsi="微软雅黑" w:eastAsia="微软雅黑"/>
          <w:b w:val="0"/>
          <w:i w:val="0"/>
          <w:color w:val="202833"/>
          <w:sz w:val="22"/>
        </w:rPr>
        <w:t>地方就业专项规划进入密集发布期。截至目前，山东、北京、湖南、辽宁、广东、甘肃、四川等十余省份已相继印发就业促进领域的“十五五”相关规划。梳理文件可见，“产业就业协同”成为共同关键词，各地紧扣现代化产业体系建设方向，锚定先进制造、新能源、数字经济等重点赛道，将稳就业、促就业嵌入产业布局全链条。</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值得人力资源行业关注的是AI条款的地方化。广东、北京、山东等地明确“探索建立人工智能就业影响监测及评估相关机制”，跟踪AI应用渗透、技能需求变化等情况，及时应对就业岗位变动趋势，引导创新资源向就业潜力大的方向倾斜；湖北、辽宁、四川等地则侧重强化AI的就业创造效应，推动AI赋能优势产业、促进新岗位生成。这意味着国办29号文提出的“就业风险评估”正在形成中央定调、地方建机制的落地路径，人力资源服务机构未来大概率要参与到这套监测评估的数据供给环节中。</w:t>
      </w:r>
    </w:p>
    <w:p>
      <w:pPr>
        <w:spacing w:after="140" w:before="0" w:line="312" w:lineRule="auto"/>
        <w:ind w:left="113"/>
      </w:pPr>
      <w:r>
        <w:rPr>
          <w:rFonts w:ascii="微软雅黑" w:hAnsi="微软雅黑" w:eastAsia="微软雅黑"/>
          <w:b w:val="0"/>
          <w:i w:val="0"/>
          <w:color w:val="202833"/>
          <w:sz w:val="22"/>
        </w:rPr>
        <w:t>在技能端，多地把技能提升和产教融合作为核心抓手。湖南设置“产培评用”技能生态链建设行动专栏；四川提出加强人工智能职业技能培训和紧缺人才培养；辽宁围绕人工智能、先进制造、低空经济、新能源汽车、跨境电商、康养托育等重点行业实施大规模培训行动。山东提出“逐步发挥新兴产业吸纳就业的主渠道作用”，广东提出“持续实施先进制造业促就业行动”，辽宁则提出发展智能建造、绿色建造，盘活交通、水利、新型能源体系等重大工程项目用工。</w:t>
      </w:r>
    </w:p>
    <w:p>
      <w:pPr>
        <w:spacing w:after="140" w:before="0" w:line="312" w:lineRule="auto"/>
        <w:ind w:left="113"/>
      </w:pPr>
      <w:r>
        <w:rPr>
          <w:rFonts w:ascii="微软雅黑" w:hAnsi="微软雅黑" w:eastAsia="微软雅黑"/>
          <w:b w:val="0"/>
          <w:i w:val="0"/>
          <w:color w:val="202833"/>
          <w:sz w:val="22"/>
        </w:rPr>
        <w:t>对外经济贸易大学国家对外开放研究院研究员李长安指出，产业与就业协同发展是实现高质量充分就业的核心，但当前就业市场仍存在“招工难”与“就业难”并存的结构性矛盾，要进一步提高供需匹配效率，让人才培养速度跟上产业迭代速度。</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三家A股人力资源龙头三季报出齐，同一个行业走出三条曲线</w:t>
      </w:r>
    </w:p>
    <w:p>
      <w:pPr>
        <w:spacing w:after="140" w:before="0" w:line="312" w:lineRule="auto"/>
        <w:ind w:left="113"/>
      </w:pPr>
      <w:r>
        <w:rPr>
          <w:rFonts w:ascii="微软雅黑" w:hAnsi="微软雅黑" w:eastAsia="微软雅黑"/>
          <w:b w:val="0"/>
          <w:i w:val="0"/>
          <w:color w:val="202833"/>
          <w:sz w:val="22"/>
        </w:rPr>
        <w:t>10月26日至28日，外服控股、科锐国际、北京人力相继披露2026年三季报，构成观察行业景气度最直接的一组样本。</w:t>
      </w:r>
    </w:p>
    <w:p>
      <w:pPr>
        <w:spacing w:after="140" w:before="0" w:line="312" w:lineRule="auto"/>
        <w:ind w:left="113"/>
      </w:pPr>
      <w:r>
        <w:rPr>
          <w:rFonts w:ascii="微软雅黑" w:hAnsi="微软雅黑" w:eastAsia="微软雅黑"/>
          <w:b w:val="0"/>
          <w:i w:val="0"/>
          <w:color w:val="202833"/>
          <w:sz w:val="22"/>
        </w:rPr>
        <w:t>科锐国际表现最强：前三季度营收120.65亿元，同比增长12.18%；归母净利润2.26亿元，同比增长2.81%；扣非净利润1.95亿元，同比增长24.02%。其中Q3单季营收39.46亿元，同比增长7.24%。公司称报告期内坚持“专业化、国际化、数智化、生态化”战略，深化“技术+平台+服务”全产业链生态布局，各核心业务板块均稳健增长。扣非增速显著高于营收增速，说明主业盈利质量在改善。</w:t>
      </w:r>
    </w:p>
    <w:p>
      <w:pPr>
        <w:spacing w:after="140" w:before="0" w:line="312" w:lineRule="auto"/>
        <w:ind w:left="113"/>
      </w:pPr>
      <w:r>
        <w:rPr>
          <w:rFonts w:ascii="微软雅黑" w:hAnsi="微软雅黑" w:eastAsia="微软雅黑"/>
          <w:b w:val="0"/>
          <w:i w:val="0"/>
          <w:color w:val="202833"/>
          <w:sz w:val="22"/>
        </w:rPr>
        <w:t>外服控股规模最大但质量分化：前三季度营收196.01亿元，同比增长5.58%；归母净利润5.63亿元，同比增长8.00%；但扣非净利润3.61亿元，同比下降2.16%；经营活动现金流净额仅1668.74万元，同比大降96.06%，公司解释为主要系部分客户服务费结算周期延长及业务执行时间性差异。Q3单季净利1.65亿元，同比增长20.10%，扣非则下降6.25%——单季利润增长主要来自非经常性损益。</w:t>
      </w:r>
    </w:p>
    <w:p>
      <w:pPr>
        <w:spacing w:after="140" w:before="0" w:line="312" w:lineRule="auto"/>
        <w:ind w:left="113"/>
      </w:pPr>
      <w:r>
        <w:rPr>
          <w:rFonts w:ascii="微软雅黑" w:hAnsi="微软雅黑" w:eastAsia="微软雅黑"/>
          <w:b w:val="0"/>
          <w:i w:val="0"/>
          <w:color w:val="202833"/>
          <w:sz w:val="22"/>
        </w:rPr>
        <w:t>北京人力承压最明显：前三季度营收339.2亿元，同比仅增0.3%；归母净利润5.14亿元，同比下降48.9%；扣非净利润2.62亿元，同比下降39.6%；经营现金流净额-9425万元，同比下降109.8%。Q3单季营收114.1亿元，同比增长2.6%，归母净利1.04亿元，同比下降46.3%。公司在报告中明确提到，面临用工市场波动、重点客户需求及结算调整等挑战。</w:t>
      </w:r>
    </w:p>
    <w:tbl>
      <w:tblPr>
        <w:tblW w:type="auto" w:w="0"/>
        <w:jc w:val="center"/>
        <w:tblLook w:firstColumn="1" w:firstRow="1" w:lastColumn="0" w:lastRow="0" w:noHBand="0" w:noVBand="1" w:val="04A0"/>
      </w:tblPr>
      <w:tblGrid>
        <w:gridCol w:w="1662"/>
        <w:gridCol w:w="1662"/>
        <w:gridCol w:w="1662"/>
        <w:gridCol w:w="1662"/>
        <w:gridCol w:w="1662"/>
        <w:gridCol w:w="1662"/>
      </w:tblGrid>
      <w:tr>
        <w:tc>
          <w:tcPr>
            <w:tcW w:type="dxa" w:w="1814"/>
            <w:vAlign w:val="center"/>
            <w:shd w:val="clear" w:fill="0F2452"/>
          </w:tcPr>
          <w:p>
            <w:pPr>
              <w:jc w:val="center"/>
            </w:pPr>
            <w:r/>
            <w:r>
              <w:rPr>
                <w:rFonts w:ascii="微软雅黑" w:hAnsi="微软雅黑" w:eastAsia="微软雅黑"/>
                <w:b/>
                <w:i w:val="0"/>
                <w:color w:val="FFFFFF"/>
                <w:sz w:val="21"/>
              </w:rPr>
              <w:t>公司</w:t>
            </w:r>
          </w:p>
        </w:tc>
        <w:tc>
          <w:tcPr>
            <w:tcW w:type="dxa" w:w="1928"/>
            <w:vAlign w:val="center"/>
            <w:shd w:val="clear" w:fill="0F2452"/>
          </w:tcPr>
          <w:p>
            <w:pPr>
              <w:jc w:val="center"/>
            </w:pPr>
            <w:r/>
            <w:r>
              <w:rPr>
                <w:rFonts w:ascii="微软雅黑" w:hAnsi="微软雅黑" w:eastAsia="微软雅黑"/>
                <w:b/>
                <w:i w:val="0"/>
                <w:color w:val="FFFFFF"/>
                <w:sz w:val="21"/>
              </w:rPr>
              <w:t>前三季营收（亿元）</w:t>
            </w:r>
          </w:p>
        </w:tc>
        <w:tc>
          <w:tcPr>
            <w:tcW w:type="dxa" w:w="1361"/>
            <w:vAlign w:val="center"/>
            <w:shd w:val="clear" w:fill="0F2452"/>
          </w:tcPr>
          <w:p>
            <w:pPr>
              <w:jc w:val="center"/>
            </w:pPr>
            <w:r/>
            <w:r>
              <w:rPr>
                <w:rFonts w:ascii="微软雅黑" w:hAnsi="微软雅黑" w:eastAsia="微软雅黑"/>
                <w:b/>
                <w:i w:val="0"/>
                <w:color w:val="FFFFFF"/>
                <w:sz w:val="21"/>
              </w:rPr>
              <w:t>营收同比</w:t>
            </w:r>
          </w:p>
        </w:tc>
        <w:tc>
          <w:tcPr>
            <w:tcW w:type="dxa" w:w="1814"/>
            <w:vAlign w:val="center"/>
            <w:shd w:val="clear" w:fill="0F2452"/>
          </w:tcPr>
          <w:p>
            <w:pPr>
              <w:jc w:val="center"/>
            </w:pPr>
            <w:r/>
            <w:r>
              <w:rPr>
                <w:rFonts w:ascii="微软雅黑" w:hAnsi="微软雅黑" w:eastAsia="微软雅黑"/>
                <w:b/>
                <w:i w:val="0"/>
                <w:color w:val="FFFFFF"/>
                <w:sz w:val="21"/>
              </w:rPr>
              <w:t>归母净利（亿元）</w:t>
            </w:r>
          </w:p>
        </w:tc>
        <w:tc>
          <w:tcPr>
            <w:tcW w:type="dxa" w:w="1361"/>
            <w:vAlign w:val="center"/>
            <w:shd w:val="clear" w:fill="0F2452"/>
          </w:tcPr>
          <w:p>
            <w:pPr>
              <w:jc w:val="center"/>
            </w:pPr>
            <w:r/>
            <w:r>
              <w:rPr>
                <w:rFonts w:ascii="微软雅黑" w:hAnsi="微软雅黑" w:eastAsia="微软雅黑"/>
                <w:b/>
                <w:i w:val="0"/>
                <w:color w:val="FFFFFF"/>
                <w:sz w:val="21"/>
              </w:rPr>
              <w:t>净利同比</w:t>
            </w:r>
          </w:p>
        </w:tc>
        <w:tc>
          <w:tcPr>
            <w:tcW w:type="dxa" w:w="1361"/>
            <w:vAlign w:val="center"/>
            <w:shd w:val="clear" w:fill="0F2452"/>
          </w:tcPr>
          <w:p>
            <w:pPr>
              <w:jc w:val="center"/>
            </w:pPr>
            <w:r/>
            <w:r>
              <w:rPr>
                <w:rFonts w:ascii="微软雅黑" w:hAnsi="微软雅黑" w:eastAsia="微软雅黑"/>
                <w:b/>
                <w:i w:val="0"/>
                <w:color w:val="FFFFFF"/>
                <w:sz w:val="21"/>
              </w:rPr>
              <w:t>扣非同比</w:t>
            </w:r>
          </w:p>
        </w:tc>
      </w:tr>
      <w:tr>
        <w:tc>
          <w:tcPr>
            <w:tcW w:type="dxa" w:w="1814"/>
            <w:vAlign w:val="center"/>
          </w:tcPr>
          <w:p>
            <w:pPr>
              <w:jc w:val="center"/>
            </w:pPr>
            <w:r/>
            <w:r>
              <w:rPr>
                <w:rFonts w:ascii="微软雅黑" w:hAnsi="微软雅黑" w:eastAsia="微软雅黑"/>
                <w:b w:val="0"/>
                <w:i w:val="0"/>
                <w:color w:val="202833"/>
                <w:sz w:val="20"/>
              </w:rPr>
              <w:t>科锐国际</w:t>
            </w:r>
          </w:p>
        </w:tc>
        <w:tc>
          <w:tcPr>
            <w:tcW w:type="dxa" w:w="1928"/>
            <w:vAlign w:val="center"/>
          </w:tcPr>
          <w:p>
            <w:pPr>
              <w:jc w:val="center"/>
            </w:pPr>
            <w:r/>
            <w:r>
              <w:rPr>
                <w:rFonts w:ascii="微软雅黑" w:hAnsi="微软雅黑" w:eastAsia="微软雅黑"/>
                <w:b w:val="0"/>
                <w:i w:val="0"/>
                <w:color w:val="202833"/>
                <w:sz w:val="20"/>
              </w:rPr>
              <w:t>120.65</w:t>
            </w:r>
          </w:p>
        </w:tc>
        <w:tc>
          <w:tcPr>
            <w:tcW w:type="dxa" w:w="1361"/>
            <w:vAlign w:val="center"/>
          </w:tcPr>
          <w:p>
            <w:pPr>
              <w:jc w:val="center"/>
            </w:pPr>
            <w:r/>
            <w:r>
              <w:rPr>
                <w:rFonts w:ascii="微软雅黑" w:hAnsi="微软雅黑" w:eastAsia="微软雅黑"/>
                <w:b w:val="0"/>
                <w:i w:val="0"/>
                <w:color w:val="202833"/>
                <w:sz w:val="20"/>
              </w:rPr>
              <w:t>+12.18%</w:t>
            </w:r>
          </w:p>
        </w:tc>
        <w:tc>
          <w:tcPr>
            <w:tcW w:type="dxa" w:w="1814"/>
            <w:vAlign w:val="center"/>
          </w:tcPr>
          <w:p>
            <w:pPr>
              <w:jc w:val="center"/>
            </w:pPr>
            <w:r/>
            <w:r>
              <w:rPr>
                <w:rFonts w:ascii="微软雅黑" w:hAnsi="微软雅黑" w:eastAsia="微软雅黑"/>
                <w:b w:val="0"/>
                <w:i w:val="0"/>
                <w:color w:val="202833"/>
                <w:sz w:val="20"/>
              </w:rPr>
              <w:t>2.26</w:t>
            </w:r>
          </w:p>
        </w:tc>
        <w:tc>
          <w:tcPr>
            <w:tcW w:type="dxa" w:w="1361"/>
            <w:vAlign w:val="center"/>
          </w:tcPr>
          <w:p>
            <w:pPr>
              <w:jc w:val="center"/>
            </w:pPr>
            <w:r/>
            <w:r>
              <w:rPr>
                <w:rFonts w:ascii="微软雅黑" w:hAnsi="微软雅黑" w:eastAsia="微软雅黑"/>
                <w:b w:val="0"/>
                <w:i w:val="0"/>
                <w:color w:val="202833"/>
                <w:sz w:val="20"/>
              </w:rPr>
              <w:t>+2.81%</w:t>
            </w:r>
          </w:p>
        </w:tc>
        <w:tc>
          <w:tcPr>
            <w:tcW w:type="dxa" w:w="1361"/>
            <w:vAlign w:val="center"/>
          </w:tcPr>
          <w:p>
            <w:pPr>
              <w:jc w:val="center"/>
            </w:pPr>
            <w:r/>
            <w:r>
              <w:rPr>
                <w:rFonts w:ascii="微软雅黑" w:hAnsi="微软雅黑" w:eastAsia="微软雅黑"/>
                <w:b w:val="0"/>
                <w:i w:val="0"/>
                <w:color w:val="202833"/>
                <w:sz w:val="20"/>
              </w:rPr>
              <w:t>+24.02%</w:t>
            </w:r>
          </w:p>
        </w:tc>
      </w:tr>
      <w:tr>
        <w:tc>
          <w:tcPr>
            <w:tcW w:type="dxa" w:w="1814"/>
            <w:vAlign w:val="center"/>
            <w:shd w:val="clear" w:fill="EAF1FB"/>
          </w:tcPr>
          <w:p>
            <w:pPr>
              <w:jc w:val="center"/>
            </w:pPr>
            <w:r/>
            <w:r>
              <w:rPr>
                <w:rFonts w:ascii="微软雅黑" w:hAnsi="微软雅黑" w:eastAsia="微软雅黑"/>
                <w:b w:val="0"/>
                <w:i w:val="0"/>
                <w:color w:val="202833"/>
                <w:sz w:val="20"/>
              </w:rPr>
              <w:t>外服控股</w:t>
            </w:r>
          </w:p>
        </w:tc>
        <w:tc>
          <w:tcPr>
            <w:tcW w:type="dxa" w:w="1928"/>
            <w:vAlign w:val="center"/>
            <w:shd w:val="clear" w:fill="EAF1FB"/>
          </w:tcPr>
          <w:p>
            <w:pPr>
              <w:jc w:val="center"/>
            </w:pPr>
            <w:r/>
            <w:r>
              <w:rPr>
                <w:rFonts w:ascii="微软雅黑" w:hAnsi="微软雅黑" w:eastAsia="微软雅黑"/>
                <w:b w:val="0"/>
                <w:i w:val="0"/>
                <w:color w:val="202833"/>
                <w:sz w:val="20"/>
              </w:rPr>
              <w:t>196.01</w:t>
            </w:r>
          </w:p>
        </w:tc>
        <w:tc>
          <w:tcPr>
            <w:tcW w:type="dxa" w:w="1361"/>
            <w:vAlign w:val="center"/>
            <w:shd w:val="clear" w:fill="EAF1FB"/>
          </w:tcPr>
          <w:p>
            <w:pPr>
              <w:jc w:val="center"/>
            </w:pPr>
            <w:r/>
            <w:r>
              <w:rPr>
                <w:rFonts w:ascii="微软雅黑" w:hAnsi="微软雅黑" w:eastAsia="微软雅黑"/>
                <w:b w:val="0"/>
                <w:i w:val="0"/>
                <w:color w:val="202833"/>
                <w:sz w:val="20"/>
              </w:rPr>
              <w:t>+5.58%</w:t>
            </w:r>
          </w:p>
        </w:tc>
        <w:tc>
          <w:tcPr>
            <w:tcW w:type="dxa" w:w="1814"/>
            <w:vAlign w:val="center"/>
            <w:shd w:val="clear" w:fill="EAF1FB"/>
          </w:tcPr>
          <w:p>
            <w:pPr>
              <w:jc w:val="center"/>
            </w:pPr>
            <w:r/>
            <w:r>
              <w:rPr>
                <w:rFonts w:ascii="微软雅黑" w:hAnsi="微软雅黑" w:eastAsia="微软雅黑"/>
                <w:b w:val="0"/>
                <w:i w:val="0"/>
                <w:color w:val="202833"/>
                <w:sz w:val="20"/>
              </w:rPr>
              <w:t>5.63</w:t>
            </w:r>
          </w:p>
        </w:tc>
        <w:tc>
          <w:tcPr>
            <w:tcW w:type="dxa" w:w="1361"/>
            <w:vAlign w:val="center"/>
            <w:shd w:val="clear" w:fill="EAF1FB"/>
          </w:tcPr>
          <w:p>
            <w:pPr>
              <w:jc w:val="center"/>
            </w:pPr>
            <w:r/>
            <w:r>
              <w:rPr>
                <w:rFonts w:ascii="微软雅黑" w:hAnsi="微软雅黑" w:eastAsia="微软雅黑"/>
                <w:b w:val="0"/>
                <w:i w:val="0"/>
                <w:color w:val="202833"/>
                <w:sz w:val="20"/>
              </w:rPr>
              <w:t>+8.00%</w:t>
            </w:r>
          </w:p>
        </w:tc>
        <w:tc>
          <w:tcPr>
            <w:tcW w:type="dxa" w:w="1361"/>
            <w:vAlign w:val="center"/>
            <w:shd w:val="clear" w:fill="EAF1FB"/>
          </w:tcPr>
          <w:p>
            <w:pPr>
              <w:jc w:val="center"/>
            </w:pPr>
            <w:r/>
            <w:r>
              <w:rPr>
                <w:rFonts w:ascii="微软雅黑" w:hAnsi="微软雅黑" w:eastAsia="微软雅黑"/>
                <w:b w:val="0"/>
                <w:i w:val="0"/>
                <w:color w:val="202833"/>
                <w:sz w:val="20"/>
              </w:rPr>
              <w:t>-2.16%</w:t>
            </w:r>
          </w:p>
        </w:tc>
      </w:tr>
      <w:tr>
        <w:tc>
          <w:tcPr>
            <w:tcW w:type="dxa" w:w="1814"/>
            <w:vAlign w:val="center"/>
          </w:tcPr>
          <w:p>
            <w:pPr>
              <w:jc w:val="center"/>
            </w:pPr>
            <w:r/>
            <w:r>
              <w:rPr>
                <w:rFonts w:ascii="微软雅黑" w:hAnsi="微软雅黑" w:eastAsia="微软雅黑"/>
                <w:b w:val="0"/>
                <w:i w:val="0"/>
                <w:color w:val="202833"/>
                <w:sz w:val="20"/>
              </w:rPr>
              <w:t>北京人力</w:t>
            </w:r>
          </w:p>
        </w:tc>
        <w:tc>
          <w:tcPr>
            <w:tcW w:type="dxa" w:w="1928"/>
            <w:vAlign w:val="center"/>
          </w:tcPr>
          <w:p>
            <w:pPr>
              <w:jc w:val="center"/>
            </w:pPr>
            <w:r/>
            <w:r>
              <w:rPr>
                <w:rFonts w:ascii="微软雅黑" w:hAnsi="微软雅黑" w:eastAsia="微软雅黑"/>
                <w:b w:val="0"/>
                <w:i w:val="0"/>
                <w:color w:val="202833"/>
                <w:sz w:val="20"/>
              </w:rPr>
              <w:t>339.20</w:t>
            </w:r>
          </w:p>
        </w:tc>
        <w:tc>
          <w:tcPr>
            <w:tcW w:type="dxa" w:w="1361"/>
            <w:vAlign w:val="center"/>
          </w:tcPr>
          <w:p>
            <w:pPr>
              <w:jc w:val="center"/>
            </w:pPr>
            <w:r/>
            <w:r>
              <w:rPr>
                <w:rFonts w:ascii="微软雅黑" w:hAnsi="微软雅黑" w:eastAsia="微软雅黑"/>
                <w:b w:val="0"/>
                <w:i w:val="0"/>
                <w:color w:val="202833"/>
                <w:sz w:val="20"/>
              </w:rPr>
              <w:t>+0.30%</w:t>
            </w:r>
          </w:p>
        </w:tc>
        <w:tc>
          <w:tcPr>
            <w:tcW w:type="dxa" w:w="1814"/>
            <w:vAlign w:val="center"/>
          </w:tcPr>
          <w:p>
            <w:pPr>
              <w:jc w:val="center"/>
            </w:pPr>
            <w:r/>
            <w:r>
              <w:rPr>
                <w:rFonts w:ascii="微软雅黑" w:hAnsi="微软雅黑" w:eastAsia="微软雅黑"/>
                <w:b w:val="0"/>
                <w:i w:val="0"/>
                <w:color w:val="202833"/>
                <w:sz w:val="20"/>
              </w:rPr>
              <w:t>5.14</w:t>
            </w:r>
          </w:p>
        </w:tc>
        <w:tc>
          <w:tcPr>
            <w:tcW w:type="dxa" w:w="1361"/>
            <w:vAlign w:val="center"/>
          </w:tcPr>
          <w:p>
            <w:pPr>
              <w:jc w:val="center"/>
            </w:pPr>
            <w:r/>
            <w:r>
              <w:rPr>
                <w:rFonts w:ascii="微软雅黑" w:hAnsi="微软雅黑" w:eastAsia="微软雅黑"/>
                <w:b w:val="0"/>
                <w:i w:val="0"/>
                <w:color w:val="202833"/>
                <w:sz w:val="20"/>
              </w:rPr>
              <w:t>-48.90%</w:t>
            </w:r>
          </w:p>
        </w:tc>
        <w:tc>
          <w:tcPr>
            <w:tcW w:type="dxa" w:w="1361"/>
            <w:vAlign w:val="center"/>
          </w:tcPr>
          <w:p>
            <w:pPr>
              <w:jc w:val="center"/>
            </w:pPr>
            <w:r/>
            <w:r>
              <w:rPr>
                <w:rFonts w:ascii="微软雅黑" w:hAnsi="微软雅黑" w:eastAsia="微软雅黑"/>
                <w:b w:val="0"/>
                <w:i w:val="0"/>
                <w:color w:val="202833"/>
                <w:sz w:val="20"/>
              </w:rPr>
              <w:t>-39.60%</w:t>
            </w:r>
          </w:p>
        </w:tc>
      </w:tr>
    </w:tbl>
    <w:p>
      <w:pPr>
        <w:spacing w:after="40"/>
      </w:pP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国考过审人数七年来首次回落，302.5万人较上年度减少近70万</w:t>
      </w:r>
    </w:p>
    <w:p>
      <w:pPr>
        <w:spacing w:after="140" w:before="0" w:line="312" w:lineRule="auto"/>
        <w:ind w:left="113"/>
      </w:pPr>
      <w:r>
        <w:rPr>
          <w:rFonts w:ascii="微软雅黑" w:hAnsi="微软雅黑" w:eastAsia="微软雅黑"/>
          <w:b w:val="0"/>
          <w:i w:val="0"/>
          <w:color w:val="202833"/>
          <w:sz w:val="22"/>
        </w:rPr>
        <w:t>2027年国家公务员考试报名于10月24日18时结束。在全国招录3.57万人的背景下，截至24日16时共有302.5万人成功过审。对比2026年度的371.8万人、2025年度的341.6万人，过审人数明显回落，较上年度减少近70万人，这也是自2019年起连续7年上涨后的首次回落。</w:t>
      </w:r>
    </w:p>
    <w:p>
      <w:pPr>
        <w:spacing w:after="140" w:before="0" w:line="312" w:lineRule="auto"/>
        <w:ind w:left="113"/>
      </w:pPr>
      <w:r>
        <w:rPr>
          <w:rFonts w:ascii="微软雅黑" w:hAnsi="微软雅黑" w:eastAsia="微软雅黑"/>
          <w:b w:val="0"/>
          <w:i w:val="0"/>
          <w:color w:val="202833"/>
          <w:sz w:val="22"/>
        </w:rPr>
        <w:t>回落有三重原因：一是招录规模连续两年收缩，本次共设19426个职位、计划招录35691人，较上年度减少约2400人，较2025年度减少超4000人；二是国家公务员局强化报考身份核验，要求提交电子社保等实名实人认证，重拳整治“公考围岗”乱象；三是考生择业心态趋于审慎，部分毕业生意识到长期埋头备考会错过秋招黄金窗口期。</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但需要注意，过审人数回落不等于考公降温。本次平均报录比仍达85:1，处在高位，最热岗位竞争比突破5000:1，同时仍有岗位无人问津，冷热失衡问题依旧突出。对招聘市场而言，这意味着部分原本沉淀在备考赛道的高校毕业生将在今年秋招中转为活跃求职者，是Q4校招需求端的一个正向变量。</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政策端中央定调、地方建机制的路径已经打通，行业端龙头业绩分化说明“规模红利”正在让位于“结构红利”。谁能把AI能力真正嵌入交付流程、把客户结构从低毛利的传统派遣转向高附加值的外包与咨询，谁就能在下一轮竞争中拉开差距。</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智联招聘×上财：数字经济人才引力“三极引领、七城卓越”，AI工程师薪酬溢价五至六成</w:t>
      </w:r>
    </w:p>
    <w:p>
      <w:pPr>
        <w:spacing w:after="140" w:before="0" w:line="312" w:lineRule="auto"/>
        <w:ind w:left="113"/>
      </w:pPr>
      <w:r>
        <w:rPr>
          <w:rFonts w:ascii="微软雅黑" w:hAnsi="微软雅黑" w:eastAsia="微软雅黑"/>
          <w:b w:val="0"/>
          <w:i w:val="0"/>
          <w:color w:val="202833"/>
          <w:sz w:val="22"/>
        </w:rPr>
        <w:t>10月27日，上海财经大学数字经济研究院联合智联招聘发布《2026全国主要城市数字经济人才引力指数报告》。报告研究范围为长三角、京津冀、粤港澳大湾区三大城市群共49个城市，从产业基础、创新生态、发展机会、生活服务四个维度对城市数字人才吸引力进行画像。</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榜呈现“三极引领、七城卓越、分层清晰”格局：北京88.76分登顶，与上海86.64分、深圳86.33分构成头部三极；杭州74.55分、广州73.25分、苏州71.17分、南京70.91分齐聚70分区间，七城共同构成卓越区；第八名合肥60.20分，与卓越区末位相差10.71分，头部与腰部的边界清晰。</w:t>
      </w:r>
    </w:p>
    <w:p>
      <w:pPr>
        <w:spacing w:after="140" w:before="0" w:line="312" w:lineRule="auto"/>
        <w:ind w:left="113"/>
      </w:pPr>
      <w:r>
        <w:rPr>
          <w:rFonts w:ascii="微软雅黑" w:hAnsi="微软雅黑" w:eastAsia="微软雅黑"/>
          <w:b w:val="0"/>
          <w:i w:val="0"/>
          <w:color w:val="202833"/>
          <w:sz w:val="22"/>
        </w:rPr>
        <w:t>薪酬与人才流动形成正向共振。上海（16876元/月）、北京（16818元/月）、深圳（15803元/月）占据数字经济岗位月薪前三，人工智能工程师薪酬溢价达五至六成。净流入前十城市中长三角占6席、大湾区占3席，深圳（3.49%）、杭州（2.54%）、上海（2.15%）位列前三，净流出城市主要集中于河北。报告判断，人才竞争正在从“政策比价”走向“生态竞争”。</w:t>
      </w:r>
    </w:p>
    <w:p>
      <w:pPr>
        <w:spacing w:after="140" w:before="0" w:line="312" w:lineRule="auto"/>
        <w:ind w:left="113"/>
      </w:pPr>
      <w:r>
        <w:rPr>
          <w:rFonts w:ascii="微软雅黑" w:hAnsi="微软雅黑" w:eastAsia="微软雅黑"/>
          <w:b w:val="0"/>
          <w:i w:val="0"/>
          <w:color w:val="202833"/>
          <w:sz w:val="22"/>
        </w:rPr>
        <w:t>结构性特征同样值得注意。大湾区总体平均月薪14508元，中高级岗位平均月薪18595元，均高于京津冀和长三角，岗位结构更偏向中高技能层级；大湾区跨境电商运营岗位占比接近全国平均水平的两倍。深圳的“三个90%”格局——90%以上创新型企业是本土企业、90%以上研发机构与研发人员在企业、90%以上职务发明专利出自企业——使其对工程师型数字人才的吸引力长期居高。</w:t>
      </w:r>
    </w:p>
    <w:p>
      <w:pPr>
        <w:spacing w:after="140" w:before="0" w:line="312" w:lineRule="auto"/>
        <w:ind w:left="113"/>
      </w:pPr>
      <w:r>
        <w:rPr>
          <w:rFonts w:ascii="微软雅黑" w:hAnsi="微软雅黑" w:eastAsia="微软雅黑"/>
          <w:b w:val="0"/>
          <w:i w:val="0"/>
          <w:color w:val="202833"/>
          <w:sz w:val="22"/>
        </w:rPr>
        <w:t>从招聘平台三季度数据看，新质生产力相关行业是当下“引才”主赛道：新材料行业三季度招聘职位数同比增长14.8%，位居前列；芯片工程师、人工智能工程师需供比分别为1.80和1.53，处于人才紧缺区间。</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前程无忧：出海职位城市格局再平衡，高级技术骨干成最紧缺人才</w:t>
      </w:r>
    </w:p>
    <w:p>
      <w:pPr>
        <w:spacing w:after="140" w:before="0" w:line="312" w:lineRule="auto"/>
        <w:ind w:left="113"/>
      </w:pPr>
      <w:r>
        <w:rPr>
          <w:rFonts w:ascii="微软雅黑" w:hAnsi="微软雅黑" w:eastAsia="微软雅黑"/>
          <w:b w:val="0"/>
          <w:i w:val="0"/>
          <w:color w:val="202833"/>
          <w:sz w:val="22"/>
        </w:rPr>
        <w:t>10月28日，在第九届进博会即将开幕之际，前程无忧51job发布《2026“出海人才”市场洞察》。2026年出海相关职位需求前十城市依次为深圳、上海、广州、苏州、宁波、北京、武汉、杭州、东莞、南京。与2024年相比，深圳仍居首位但占比由24.4%降至20.4%，上海则由12.5%升至14.5%——出海人才需求正从单一极点向多中心扩散。</w:t>
      </w:r>
    </w:p>
    <w:p>
      <w:pPr>
        <w:spacing w:after="140" w:before="0" w:line="312" w:lineRule="auto"/>
        <w:ind w:left="113"/>
      </w:pPr>
      <w:r>
        <w:rPr>
          <w:rFonts w:ascii="微软雅黑" w:hAnsi="微软雅黑" w:eastAsia="微软雅黑"/>
          <w:b w:val="0"/>
          <w:i w:val="0"/>
          <w:color w:val="202833"/>
          <w:sz w:val="22"/>
        </w:rPr>
        <w:t>岗位结构出现明显位移：销售类岗位以22.7%的最高占比成为需求量最大的岗位，但其平均月薪由2.05万元降至1.97万元；外贸采购类（外贸专员、采购员等）占比由11.7%升至15.7%；电商运营类（跨境电商运营、新媒体运营）占比由27.5%降至14.8%，降幅最为明显。</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能说明问题的是紧缺人才结构：出海企业最紧缺的人才中，高级技术骨干占比达67.7%。这意味着企业出海已从“铺渠道、卖货”阶段进入“建能力、落地生产与服务”阶段，对人才的需求从销售前端转向技术与交付中后台。对人力资源服务商而言，出海人才业务的价值重心也将随之外移——单纯的海外招聘交付会快速商品化，能提供跨境薪酬、合规、签证、属地用工管理的一体化服务才是溢价来源。</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BOSS直聘：无重大业务公告，中概股回调中跌超2%</w:t>
      </w:r>
    </w:p>
    <w:p>
      <w:pPr>
        <w:spacing w:after="140" w:before="0" w:line="312" w:lineRule="auto"/>
        <w:ind w:left="113"/>
      </w:pPr>
      <w:r>
        <w:rPr>
          <w:rFonts w:ascii="微软雅黑" w:hAnsi="微软雅黑" w:eastAsia="微软雅黑"/>
          <w:b w:val="0"/>
          <w:i w:val="0"/>
          <w:color w:val="202833"/>
          <w:sz w:val="22"/>
        </w:rPr>
        <w:t>本周BOSS直聘未见财报或产品层面的重大公告。10月28日美股交易时段，中概股整体走弱，虎虎科技跌超28%，新东方跌超9%，高途集团跌超3%，BOSS直聘、华住集团跌超2%，腾讯音乐、网易跌超1%。考虑到美联储10月28日议息会议维持利率不变、两名票委主张加息25个基点，成长股估值端承压是本周中概招聘股回调的主要外部变量，而非公司基本面变化。</w:t>
      </w:r>
    </w:p>
    <w:p>
      <w:pPr>
        <w:spacing w:after="140" w:before="0" w:line="312" w:lineRule="auto"/>
        <w:ind w:left="113"/>
      </w:pPr>
      <w:r>
        <w:rPr>
          <w:rFonts w:ascii="微软雅黑" w:hAnsi="微软雅黑" w:eastAsia="微软雅黑"/>
          <w:b w:val="0"/>
          <w:i w:val="0"/>
          <w:color w:val="202833"/>
          <w:sz w:val="22"/>
        </w:rPr>
        <w:t>从行业格局看，本周最值得关注的隐性信号来自第三方披露的对比数据：智联招聘2026财年收入约23.71亿元、同比下降10%，而BOSS直聘仍保持增长、猎聘处于收入承压状态。三家头部平台正在走出明确分层——BOSS直聘凭借直聊模式与中小企业客户密度守住增长，智联与猎聘则处在收入结构调整期。中国招聘市场正从“三强并立”转向“一超多强”。</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需要提示的是，招聘平台的收入增速与宏观就业景气度之间存在滞后关系。Q3以来制造业与新兴产业招聘需求尚可，但房地产、教培、部分互联网细分领域的招聘预算仍在收缩，平台侧的收入分化更多反映客户结构差异，而非总量扩张。</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秋招一线观察：AI能力成“标配”，但专业能力仍是第一顺位</w:t>
      </w:r>
    </w:p>
    <w:p>
      <w:pPr>
        <w:spacing w:after="140" w:before="0" w:line="312" w:lineRule="auto"/>
        <w:ind w:left="113"/>
      </w:pPr>
      <w:r>
        <w:rPr>
          <w:rFonts w:ascii="微软雅黑" w:hAnsi="微软雅黑" w:eastAsia="微软雅黑"/>
          <w:b w:val="0"/>
          <w:i w:val="0"/>
          <w:color w:val="202833"/>
          <w:sz w:val="22"/>
        </w:rPr>
        <w:t>10月26日，“乐业上海优+”——2026年全国城市联合招聘高校毕业生秋季专场活动暨上海市高校毕业生择业对接会举行。本次招聘会围绕上海“2+3+6+6”现代化产业体系，共设17个专区，涵盖人工智能、生物医药、集成电路、现代服务、高端装备、先进材料等重点产业领域。</w:t>
      </w:r>
    </w:p>
    <w:p>
      <w:pPr>
        <w:spacing w:after="140" w:before="0" w:line="312" w:lineRule="auto"/>
        <w:ind w:left="113"/>
      </w:pPr>
      <w:r>
        <w:rPr>
          <w:rFonts w:ascii="微软雅黑" w:hAnsi="微软雅黑" w:eastAsia="微软雅黑"/>
          <w:b w:val="0"/>
          <w:i w:val="0"/>
          <w:color w:val="202833"/>
          <w:sz w:val="22"/>
        </w:rPr>
        <w:t>现场最直观的变化是岗位描述里普遍加入了AI能力要求。上海微谱检测科技集团HR朱思慧表示，从实验室到销售端，公司各业务板块都在不同程度上使用AI工具提升效率，因此AI能力是本次招聘的要求之一，“如果一个人完全不会用AI，可能不太容易拿到offer”，但她同时强调“我们最看重的还是专业能力”。上海建发致新医疗科技集团今年首次设立“AI管培生”职位，仅招1人，将协助流程与数字化中心开展医疗器械相关的AI大数据应用。</w:t>
      </w:r>
    </w:p>
    <w:p>
      <w:pPr>
        <w:spacing w:after="140" w:before="0" w:line="312" w:lineRule="auto"/>
        <w:ind w:left="113"/>
      </w:pPr>
      <w:r>
        <w:rPr>
          <w:rFonts w:ascii="微软雅黑" w:hAnsi="微软雅黑" w:eastAsia="微软雅黑"/>
          <w:b w:val="0"/>
          <w:i w:val="0"/>
          <w:color w:val="202833"/>
          <w:sz w:val="22"/>
        </w:rPr>
        <w:t>银行业的秋招信号更为明确。多家银行设置科技菁英、数智金融培训生、金融科技培训生等岗位，重庆农商银行金融科技岗招聘14人并实行“一对一”导师带教，东莞银行金融科技培训生需在资讯科技部与总分行业务类岗位开展两年跨岗培养。邮储银行研究员娄飞鹏将银行金融科技需求分为三类：技术研发类（AI大模型在金融场景的应用开发）、业务赋能类（推动AI在零售信贷、财富管理落地）、生态合作类（对接理财、信托等机构协同服务客户）。</w:t>
      </w:r>
    </w:p>
    <w:p>
      <w:pPr>
        <w:spacing w:after="140" w:before="0" w:line="312" w:lineRule="auto"/>
        <w:ind w:left="113"/>
      </w:pPr>
      <w:r>
        <w:rPr>
          <w:rFonts w:ascii="微软雅黑" w:hAnsi="微软雅黑" w:eastAsia="微软雅黑"/>
          <w:b w:val="0"/>
          <w:i w:val="0"/>
          <w:color w:val="202833"/>
          <w:sz w:val="22"/>
        </w:rPr>
        <w:t>同期，北京市属国企举办2027届高校毕业生秋季校园专场招聘，高端制造研发类岗位需求旺盛；上海新型高职就业联盟在闵行成立，两百家企业携2600多个岗位到场；2027届上海“松江七校”校园招聘月启动，722家单位携2万余岗位揽才。校招市场的总量与结构均在修复。</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在线招聘的竞争逻辑已经从“流量分发”转向“人才定价能力”。智联与上财的联合报告、前程无忧的出海洞察，本质都是把岗位数据加工成决策产品——这是平台在广告收入之外寻找第二增长曲线的共同动作。BOSS直聘守住增长靠的是中小企业客户密度，而要突破天花板，必须在AI匹配之外的商业化场景（如企业服务、培训、薪酬）找到新入口。</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中资企业出海打开青年境外就业空间，但专家明确“不能简单当作出口”</w:t>
      </w:r>
    </w:p>
    <w:p>
      <w:pPr>
        <w:spacing w:after="140" w:before="0" w:line="312" w:lineRule="auto"/>
        <w:ind w:left="113"/>
      </w:pPr>
      <w:r>
        <w:rPr>
          <w:rFonts w:ascii="微软雅黑" w:hAnsi="微软雅黑" w:eastAsia="微软雅黑"/>
          <w:b w:val="0"/>
          <w:i w:val="0"/>
          <w:color w:val="202833"/>
          <w:sz w:val="22"/>
        </w:rPr>
        <w:t>近期多家科技公司的出海招聘公告引发关注：小米招聘海外客户高级销售经理，负责发掘中国出海新客户，月薪可达25K—35K；一家具身智能大模型企业招募出海业务法务专家，负责海外业务全流程法律支持；一家知名车企招聘海外销售经理，薪资由“底薪（10K—30K）+提成+驻外补贴”构成。</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量数据提供了基本面支撑：截至2025年末，我国在境外设立企业5.8万家，比上年增加6000家；境外非金融中资企业从业人员总量476.1万人，其中外方雇员接近296.5万人，中方外派人员约180万人。外方雇员已是中方外派人员的1.65倍，说明中资企业的海外用工已高度属地化——这对劳务输出机构的业务模式是一个根本性提示：未来增量不在“派人出去”，而在“帮企业在当地建用工能力”。</w:t>
      </w:r>
    </w:p>
    <w:p>
      <w:pPr>
        <w:spacing w:after="140" w:before="0" w:line="312" w:lineRule="auto"/>
        <w:ind w:left="113"/>
      </w:pPr>
      <w:r>
        <w:rPr>
          <w:rFonts w:ascii="微软雅黑" w:hAnsi="微软雅黑" w:eastAsia="微软雅黑"/>
          <w:b w:val="0"/>
          <w:i w:val="0"/>
          <w:color w:val="202833"/>
          <w:sz w:val="22"/>
        </w:rPr>
        <w:t>日前，劳动经济学会就业促进专业委员会2026年三季度就业形势分析会在北京举行，主题即为“中资企业出海与青年境外就业”。与会专家指出，在国内青年就业承压的背景下，可依托共建“一带一路”对外合作布局，有序开发海外岗位资源，探索青年境外就业新路径。</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但专家同时给出一条明确的风险底线：青年境外就业不能简单作为化解国内就业压力的“出口”，必须坚持风险前置原则，兼顾机遇开发与风险防控。跨境劳务合作双向管理链条长、利益矛盾复杂，这是行业必须正视的现实约束。</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区域用工缺口结构化：非洲缺复合型、中亚缺平台、拉美缺高技能</w:t>
      </w:r>
    </w:p>
    <w:p>
      <w:pPr>
        <w:spacing w:after="140" w:before="0" w:line="312" w:lineRule="auto"/>
        <w:ind w:left="113"/>
      </w:pPr>
      <w:r>
        <w:rPr>
          <w:rFonts w:ascii="微软雅黑" w:hAnsi="微软雅黑" w:eastAsia="微软雅黑"/>
          <w:b w:val="0"/>
          <w:i w:val="0"/>
          <w:color w:val="202833"/>
          <w:sz w:val="22"/>
        </w:rPr>
        <w:t>与会专家对各区域市场做了细化梳理，构成一份难得的国别用工地图。</w:t>
      </w:r>
    </w:p>
    <w:p>
      <w:pPr>
        <w:spacing w:after="140" w:before="0" w:line="312" w:lineRule="auto"/>
        <w:ind w:left="113"/>
      </w:pPr>
      <w:r>
        <w:rPr>
          <w:rFonts w:ascii="微软雅黑" w:hAnsi="微软雅黑" w:eastAsia="微软雅黑"/>
          <w:b w:val="0"/>
          <w:i w:val="0"/>
          <w:color w:val="202833"/>
          <w:sz w:val="22"/>
        </w:rPr>
        <w:t>西南财经大学教授董艳对非洲中资企业调研后发现，基建、制造业、农业项目普遍存在较大岗位缺口，且面临“双重人才缺口”：国内兼具工程技术能力、东道国语言能力、且熟悉当地法律与风俗的复合型青年人才供给严重不足；当地本土劳动力基础技能薄弱，企业需投入大量资源开展岗前培训，推高整体人力成本。这对劳务输出机构的启示是——岗前培训本身可以成为可交付、可收费的服务产品。</w:t>
      </w:r>
    </w:p>
    <w:p>
      <w:pPr>
        <w:spacing w:after="140" w:before="0" w:line="312" w:lineRule="auto"/>
        <w:ind w:left="113"/>
      </w:pPr>
      <w:r>
        <w:rPr>
          <w:rFonts w:ascii="微软雅黑" w:hAnsi="微软雅黑" w:eastAsia="微软雅黑"/>
          <w:b w:val="0"/>
          <w:i w:val="0"/>
          <w:color w:val="202833"/>
          <w:sz w:val="22"/>
        </w:rPr>
        <w:t>香港科技大学教授潘芃杉指出，随着中国—中亚合作深化，双边经济交往已从传统农业合作、大型工业项目延伸至商贸流通、住宿餐饮、跨境物流、数字服务等服务业领域，催生大量商贸、语言服务、运营管理类岗位。但当前国内青年赴中亚就业渠道较为分散，缺乏标准化供需对接平台，国内高校中亚小语种人才培养体量有限。渠道分散+供给不足，正是平台型机会。</w:t>
      </w:r>
    </w:p>
    <w:p>
      <w:pPr>
        <w:spacing w:after="140" w:before="0" w:line="312" w:lineRule="auto"/>
        <w:ind w:left="113"/>
      </w:pPr>
      <w:r>
        <w:rPr>
          <w:rFonts w:ascii="微软雅黑" w:hAnsi="微软雅黑" w:eastAsia="微软雅黑"/>
          <w:b w:val="0"/>
          <w:i w:val="0"/>
          <w:color w:val="202833"/>
          <w:sz w:val="22"/>
        </w:rPr>
        <w:t>中国社会科学院拉丁美洲研究所副研究员王飞指出，中资企业在新能源、矿产、通信、跨境电商等领域加快布局，催生工程技术、跨境运营、本地化营销等岗位，可为部分高技能青年提供就业机会。</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出海人才能力标准与回国衔接机制成为政策落点</w:t>
      </w:r>
    </w:p>
    <w:p>
      <w:pPr>
        <w:spacing w:after="140" w:before="0" w:line="312" w:lineRule="auto"/>
        <w:ind w:left="113"/>
      </w:pPr>
      <w:r>
        <w:rPr>
          <w:rFonts w:ascii="微软雅黑" w:hAnsi="微软雅黑" w:eastAsia="微软雅黑"/>
          <w:b w:val="0"/>
          <w:i w:val="0"/>
          <w:color w:val="202833"/>
          <w:sz w:val="22"/>
        </w:rPr>
        <w:t>北京外国语大学教授牛华勇提出，出海人才培养应搭建统一标准框架与多元评价模式。境外就业人才的能力集合应分为三个层次：专业技术业务能力（对应岗位本职工作）、语言与国别认知能力（当地语言、法律制度、文化习俗、宗教社会常识）、风险素养（人身安全防范、冲突应对、心理调适、应急避险）。这一三层模型实际为劳务输出机构的培训课程设计提供了可直接落地的框架。</w:t>
      </w:r>
    </w:p>
    <w:p>
      <w:pPr>
        <w:spacing w:after="140" w:before="0" w:line="312" w:lineRule="auto"/>
        <w:ind w:left="113"/>
      </w:pPr>
      <w:r>
        <w:rPr>
          <w:rFonts w:ascii="微软雅黑" w:hAnsi="微软雅黑" w:eastAsia="微软雅黑"/>
          <w:b w:val="0"/>
          <w:i w:val="0"/>
          <w:color w:val="202833"/>
          <w:sz w:val="22"/>
        </w:rPr>
        <w:t>专家建议分类推进人才培养改革：外语类高校拓展区域国别研究，增设产业、劳工法律实务课程；理工科高校开设海外国情通识模块；高职院校面向服务业、实操技术出海岗位，强化实操技能与海外适应能力的复合培养。四川国际标榜职业学院校长刘一沛指出，全球健康护理、加工制造、酒店餐饮、幼儿保育等领域存在较大技能型岗位缺口。</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现实的痛点是“回国衔接”。北京交通大学教授唐代盛指出，青年海外工作结束回国后面临海外工作经历认定、职业技能证书国内互认、再就业求职支持缺失等问题，建议研究海外工作经历认证机制，推动部分职业技能跨境互认，公共就业服务机构为归国青年提供就业帮扶。对人力资源服务商而言，这是一个尚未被充分开发的存量市场——归国人才的职业再配置服务。</w:t>
      </w:r>
    </w:p>
    <w:p>
      <w:pPr>
        <w:spacing w:after="140" w:before="0" w:line="312" w:lineRule="auto"/>
        <w:ind w:left="113"/>
      </w:pPr>
      <w:r>
        <w:rPr>
          <w:rFonts w:ascii="微软雅黑" w:hAnsi="微软雅黑" w:eastAsia="微软雅黑"/>
          <w:b w:val="0"/>
          <w:i w:val="0"/>
          <w:color w:val="202833"/>
          <w:sz w:val="22"/>
        </w:rPr>
        <w:t>此外，部分青年赴海外就业未经由正规外派渠道，存在个人自主求职、中介机构经营不规范等乱象，青年劳动者信息获取不对称，极易陷入权益受损困境。专家建议建立动态更新的国别风险分级评估清单，根据东道国法律、安全形势、签证条件实施分类管控；构建跨部门协同机制，实现外交、人社、教育部门与驻外机构信息联动，制定境外就业风险监测预警和突发事件应急处置预案。</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出国劳务的业务重心正在从“人员输出”迁移到“能力建设+合规保障”。中方外派180万对当地雇员296.5万的比例已经说明属地化不可逆，未来五年劳务输出机构的核心资产不是人力池，而是国别用工知识库、培训体系与风险处置能力。国别风险分级清单一旦成为监管要求，具备合规能力的机构将获得结构性准入优势。</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深圳以“灵活办公”承接APEC会议周，企业方案分化成三种模型</w:t>
      </w:r>
    </w:p>
    <w:p>
      <w:pPr>
        <w:spacing w:after="140" w:before="0" w:line="312" w:lineRule="auto"/>
        <w:ind w:left="113"/>
      </w:pPr>
      <w:r>
        <w:rPr>
          <w:rFonts w:ascii="微软雅黑" w:hAnsi="微软雅黑" w:eastAsia="微软雅黑"/>
          <w:b w:val="0"/>
          <w:i w:val="0"/>
          <w:color w:val="202833"/>
          <w:sz w:val="22"/>
        </w:rPr>
        <w:t>随着2026年亚太经合组织（APEC）领导人非正式会议临近，深圳多家科技企业陆续推出灵活工作安排。深圳市人力资源和社会保障局发布《关于倡导APEC会议期间实行灵活工作安排的通知》，倡导全市企业在11月16日至20日期间，根据生产经营实际，因企施策、因岗施策，合理安排员工居家办公、带薪休假及错峰出行。</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家企业的方案形成了三种可复用的模型：荣耀在深圳福田区有7000多名员工，采取“线上线下融合办公”，总部职能员工依托远程IT平台居家办公和云端协同，研发团队灵活安排工作节奏，产线及供应链等一线岗位保持有序值守；影石在11月17日至19日组织各部门分批次轮流居家办公，11月16日至20日全员弹性上下班，并鼓励统筹安排带薪年休假；大眼橙则将11月16日至20日5个工作日统筹为全员带薪年休假，加上前后两个周末，员工获得11月14日至22日共9天连续假期。</w:t>
      </w:r>
    </w:p>
    <w:p>
      <w:pPr>
        <w:spacing w:after="140" w:before="0" w:line="312" w:lineRule="auto"/>
        <w:ind w:left="113"/>
      </w:pPr>
      <w:r>
        <w:rPr>
          <w:rFonts w:ascii="微软雅黑" w:hAnsi="微软雅黑" w:eastAsia="微软雅黑"/>
          <w:b w:val="0"/>
          <w:i w:val="0"/>
          <w:color w:val="202833"/>
          <w:sz w:val="22"/>
        </w:rPr>
        <w:t>值得注意的是，本次灵活办公安排的背景之一是深圳市2026—2027学年义务教育阶段学校秋假安排在11月17日至20日，与APEC会议周重叠，企业措施同时解决了双职工家庭的子女照护问题。大眼橙创始人刘正华明确表示，安排首先是响应政府倡导减少交通压力，另一方面团队此前为攻坚新产品持续加班，希望让员工获得完整、不被工作打扰的休息。</w:t>
      </w:r>
    </w:p>
    <w:p>
      <w:pPr>
        <w:spacing w:after="140" w:before="0" w:line="312" w:lineRule="auto"/>
        <w:ind w:left="113"/>
      </w:pPr>
      <w:r>
        <w:rPr>
          <w:rFonts w:ascii="微软雅黑" w:hAnsi="微软雅黑" w:eastAsia="微软雅黑"/>
          <w:b w:val="0"/>
          <w:i w:val="0"/>
          <w:color w:val="202833"/>
          <w:sz w:val="22"/>
        </w:rPr>
        <w:t>这套“政策倡导+因企施策+因岗施策”的柔性协调机制，实质是一次大规模的城市级灵活用工压力测试。它验证的关键命题是：当灵活办公从福利选项变成城市运行保障的手段时，企业的排班管理、远程协同、绩效考核体系能否承接。对HR SaaS与灵活用工平台而言，这是产品需求的直接信号。</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AI替代焦虑落到餐饮业：老干妈传闻背后的结构性议题</w:t>
      </w:r>
    </w:p>
    <w:p>
      <w:pPr>
        <w:spacing w:after="140" w:before="0" w:line="312" w:lineRule="auto"/>
        <w:ind w:left="113"/>
      </w:pPr>
      <w:r>
        <w:rPr>
          <w:rFonts w:ascii="微软雅黑" w:hAnsi="微软雅黑" w:eastAsia="微软雅黑"/>
          <w:b w:val="0"/>
          <w:i w:val="0"/>
          <w:color w:val="202833"/>
          <w:sz w:val="22"/>
        </w:rPr>
        <w:t>本周“老干妈使用AI后员工数量骤减”的传闻引发广泛讨论。截至目前，网传“600多名拣椒工人减少到48人”并无确凿证实，老干妈官方热线和人力资源部门均否认了这一说法。但据《贵州日报》报道，老干妈确实已在生产环节引入AI视觉质检系统，常务副总经理、首席质量官李鑫曾介绍，这令关键工序产品不良率降至0.02%。</w:t>
      </w:r>
    </w:p>
    <w:p>
      <w:pPr>
        <w:spacing w:after="140" w:before="0" w:line="312" w:lineRule="auto"/>
        <w:ind w:left="113"/>
      </w:pPr>
      <w:r>
        <w:rPr>
          <w:rFonts w:ascii="微软雅黑" w:hAnsi="微软雅黑" w:eastAsia="微软雅黑"/>
          <w:b w:val="0"/>
          <w:i w:val="0"/>
          <w:color w:val="202833"/>
          <w:sz w:val="22"/>
        </w:rPr>
        <w:t>传闻之所以引发共鸣，是因为餐饮业以较低门槛吸纳了大量劳动力。相比对学历技能要求较高的行业，餐饮提供了洗碗洗菜、切配、端盘子等大量入职门槛较低的岗位，对年龄较大、教育背景有限的劳动者而言是重要的就业入口。当AI开始进入后厨、供应链和门店管理，影响的不只是企业效率和成本，也关系到众多劳动者的生计。</w:t>
      </w:r>
    </w:p>
    <w:p>
      <w:pPr>
        <w:spacing w:after="140" w:before="0" w:line="312" w:lineRule="auto"/>
        <w:ind w:left="113"/>
      </w:pPr>
      <w:r>
        <w:rPr>
          <w:rFonts w:ascii="微软雅黑" w:hAnsi="微软雅黑" w:eastAsia="微软雅黑"/>
          <w:b w:val="0"/>
          <w:i w:val="0"/>
          <w:color w:val="202833"/>
          <w:sz w:val="22"/>
        </w:rPr>
        <w:t>界面新闻采访显示，AI已进入餐饮业的生产、质检、运营与门店服务多个环节。连锁餐饮投入AI的首要原因，是让技术覆盖人力难以触达的环节，确保产品品质一致与食品安全。小菜园在订货、培训、门店诊断等环节引入AI，自研智能订货系统已覆盖全部门店，根据历史销售、客流、天气和节假日数据生成次日订货和备料建议；门店诊断系统帮助管理者识别退菜多、出餐超时等经营异常。</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这一轮AI渗透与上一轮餐饮数字化的差异在于：上一轮围绕线上点餐、外卖、收银和会员运营，替代的是“交易环节”；这一轮进入后厨与供应链，替代的是“执行环节”。执行环节恰恰是低技能劳动力最集中的部分。对灵活用工平台而言，这意味着餐饮类基础岗位的用工需求结构会在未来2—3年出现实质性变化，需要提前布局岗位转移与技能再培训服务。</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电商双十一招聘：AI与出海驱动薪酬分化，招聘黑产进入“站外闭环”阶段</w:t>
      </w:r>
    </w:p>
    <w:p>
      <w:pPr>
        <w:spacing w:after="140" w:before="0" w:line="312" w:lineRule="auto"/>
        <w:ind w:left="113"/>
      </w:pPr>
      <w:r>
        <w:rPr>
          <w:rFonts w:ascii="微软雅黑" w:hAnsi="微软雅黑" w:eastAsia="微软雅黑"/>
          <w:b w:val="0"/>
          <w:i w:val="0"/>
          <w:color w:val="202833"/>
          <w:sz w:val="22"/>
        </w:rPr>
        <w:t>前程无忧51job发布的2026年第三季度电商招聘数据显示，2026年三季度电商行业前十大热招职能为：电商运营、跨境电商运营、内容运营/直播运营、客服、数据分析、市场推广/流量投放、研发、算法工程师、供应链与履约、主播及直播间管理。</w:t>
      </w:r>
    </w:p>
    <w:p>
      <w:pPr>
        <w:spacing w:after="140" w:before="0" w:line="312" w:lineRule="auto"/>
        <w:ind w:left="113"/>
      </w:pPr>
      <w:r>
        <w:rPr>
          <w:rFonts w:ascii="微软雅黑" w:hAnsi="微软雅黑" w:eastAsia="微软雅黑"/>
          <w:b w:val="0"/>
          <w:i w:val="0"/>
          <w:color w:val="202833"/>
          <w:sz w:val="22"/>
        </w:rPr>
        <w:t>结构性分化清晰：客服、基础设计岗受智能客服与AIGC替代影响，呈现“量在价跌”特征；算法、数据分析岗及跨境电商运营则“量价齐升”，跨境运营凭借出海红利进入热招职能前三，但门槛已从“会铺货”转向“跨境+数据+内容+AI工具”的复合能力。高薪岗位向“算法技术、跨境管理、数据复合、AI投放”四类职能集中。</w:t>
      </w:r>
    </w:p>
    <w:p>
      <w:pPr>
        <w:spacing w:after="140" w:before="0" w:line="312" w:lineRule="auto"/>
        <w:ind w:left="113"/>
      </w:pPr>
      <w:r>
        <w:rPr>
          <w:rFonts w:ascii="微软雅黑" w:hAnsi="微软雅黑" w:eastAsia="微软雅黑"/>
          <w:b w:val="0"/>
          <w:i w:val="0"/>
          <w:color w:val="202833"/>
          <w:sz w:val="22"/>
        </w:rPr>
        <w:t>与岗位扩容同步的是招聘黑产的活跃。前程无忧治理数据显示，典型高发岗位集中于电商兼职、推广、带货、内容四大方向，作案逻辑为“招募—诱导—收割”线上全流程，并呈现三大特征：借势伪装（岗位名称与描述高度模仿正规电商企业）、私域闭环（从简历沟通到任务派发全程引导加外部群聊，脱离平台监管）、速战速决（改用“一单一结”“垫资返佣”制造获利假象，败露即失联换号）。</w:t>
      </w:r>
    </w:p>
    <w:p>
      <w:pPr>
        <w:spacing w:after="140" w:before="0" w:line="312" w:lineRule="auto"/>
        <w:ind w:left="113"/>
      </w:pPr>
      <w:r>
        <w:rPr>
          <w:rFonts w:ascii="微软雅黑" w:hAnsi="微软雅黑" w:eastAsia="微软雅黑"/>
          <w:b w:val="0"/>
          <w:i w:val="0"/>
          <w:color w:val="202833"/>
          <w:sz w:val="22"/>
        </w:rPr>
        <w:t>从作案链路看，双十一电商招聘黑产已从早期显性的“收费入职”转向“职位做流量入口、站外做转化”的模式：前端发布正规职能岗吸纳简历，中端用“时间自由、五分钟学会”等话术建立信任，后端接入刷单垫资、钓鱼链接、简历倒卖或“工具人”引流。求职者一旦上钩，不仅面临财产损失，还可能因个人信息泄露甚至无意中参与非法行为而承担连带法律风险。</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灵活用工本周的两个信号指向同一件事：用工的“弹性”正在从企业单方面调节成本的手段，变成城市治理与员工权益双向约束下的制度安排。深圳APEC的柔性协调机制证明政策可以在不增加企业刚性成本的前提下实现城市级调度，这套经验很可能在大型活动、极端天气等场景被复制。而AI对餐饮与电商执行岗的替代，则是灵活用工平台必须提前回答的存量迁移问题。</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国际HR科技投融资：一周内多笔融资落地，AI原生招聘与一线员工运营成热点</w:t>
      </w:r>
    </w:p>
    <w:p>
      <w:pPr>
        <w:spacing w:after="140" w:before="0" w:line="312" w:lineRule="auto"/>
        <w:ind w:left="113"/>
      </w:pPr>
      <w:r>
        <w:rPr>
          <w:rFonts w:ascii="微软雅黑" w:hAnsi="微软雅黑" w:eastAsia="微软雅黑"/>
          <w:b w:val="0"/>
          <w:i w:val="0"/>
          <w:color w:val="202833"/>
          <w:sz w:val="22"/>
        </w:rPr>
        <w:t>本周HRTechChina跟踪的海外投融资呈现出明显的方向集中——AI原生招聘、一线员工运营、劳动力合规三条线同时获得资金。</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I原生招聘公司Jooba正式上线并获得400万美元种子轮融资，投资方为a16z Speedrun、Scribble Ventures和Genius Ventures。其模式值得关注：将人类专业知识与定制化AI代理相结合，作为“嵌入式招聘合作伙伴”，通过人工参与的质量保证（手动审核、优化并批准候选人名单）确保候选人质量，配合Slack原生工作流与可预测的订阅定价，试图重构传统猎头的按结果收费模式。这是“AI代理+人类质控”混合交付模型在招聘领域的一次明确尝试。</w:t>
      </w:r>
    </w:p>
    <w:p>
      <w:pPr>
        <w:spacing w:after="140" w:before="0" w:line="312" w:lineRule="auto"/>
        <w:ind w:left="113"/>
      </w:pPr>
      <w:r>
        <w:rPr>
          <w:rFonts w:ascii="微软雅黑" w:hAnsi="微软雅黑" w:eastAsia="微软雅黑"/>
          <w:b w:val="0"/>
          <w:i w:val="0"/>
          <w:color w:val="202833"/>
          <w:sz w:val="22"/>
        </w:rPr>
        <w:t>面向一线员工运营的应用型AI平台Firstwork完成1500万美元A轮融资，由Earlybird Venture Capital领投，Legion VC、Deel Ventures以及现有投资者Gradient和Y Combinator跟投，累计融资达2000万美元。其产品覆盖一线员工全雇佣生命周期：背景调查、文件核验、工作许可、入职引导、培训协调、合规管理与后续跟进，核心价值定位是减少手动工作量、提升一线候选人到岗率。</w:t>
      </w:r>
    </w:p>
    <w:p>
      <w:pPr>
        <w:spacing w:after="140" w:before="0" w:line="312" w:lineRule="auto"/>
        <w:ind w:left="113"/>
      </w:pPr>
      <w:r>
        <w:rPr>
          <w:rFonts w:ascii="微软雅黑" w:hAnsi="微软雅黑" w:eastAsia="微软雅黑"/>
          <w:b w:val="0"/>
          <w:i w:val="0"/>
          <w:color w:val="202833"/>
          <w:sz w:val="22"/>
        </w:rPr>
        <w:t>英国监管科技平台CoComply完成190万英镑融资，由NPIF–Mercia Equity Finance领投，Mercia Ventures、Haatch参与。其原生AI监管科技平台帮助中型和大型企业识别并管理外部劳动力，通过技术与专家分类结合，判断人员雇佣方式、确定所需合规核查项目，应对IR35等隐性劳动力合规风险。这条赛道与国内灵活用工合规化趋势高度对应。</w:t>
      </w:r>
    </w:p>
    <w:p>
      <w:pPr>
        <w:spacing w:after="140" w:before="0" w:line="312" w:lineRule="auto"/>
        <w:ind w:left="113"/>
      </w:pPr>
      <w:r>
        <w:rPr>
          <w:rFonts w:ascii="微软雅黑" w:hAnsi="微软雅黑" w:eastAsia="微软雅黑"/>
          <w:b w:val="0"/>
          <w:i w:val="0"/>
          <w:color w:val="202833"/>
          <w:sz w:val="22"/>
        </w:rPr>
        <w:t>其他值得记录的融资包括：面向福利团队的企业级AI平台Avante获3000万美元A轮（Frist Cressey Ventures领投）；法国AI商业规划与绩效管理平台Pigment获2.5亿美元E轮，估值达23亿美元（EQT管理的Scaleup Europe Fund领投）；代理式学习平台LearnUpon获5000万美元（Claret Capital Partners）；一线应急人员绩效辅导平台Sharp Performance获1800万美元A轮；AI驱动家庭照护平台Rosie获700万美元（Bling Capital和Reach Capital领投）；葡萄牙教育科技公司Intuitivo获135万欧元种子轮（Caixa Capital、Impact Innovation Fund参与）。</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ADP发布2027财年Q1业绩：营收55亿美元，上调全年指引</w:t>
      </w:r>
    </w:p>
    <w:p>
      <w:pPr>
        <w:spacing w:after="140" w:before="0" w:line="312" w:lineRule="auto"/>
        <w:ind w:left="113"/>
      </w:pPr>
      <w:r>
        <w:rPr>
          <w:rFonts w:ascii="微软雅黑" w:hAnsi="微软雅黑" w:eastAsia="微软雅黑"/>
          <w:b w:val="0"/>
          <w:i w:val="0"/>
          <w:color w:val="202833"/>
          <w:sz w:val="22"/>
        </w:rPr>
        <w:t>全球薪酬与人力资源科技巨头ADP公布2027财年第一季度业绩：季度营收55亿美元，同比增长6%；净利润约11.25亿美元，增长11%；调整后EBIT增长12%，利润率达到26.8%；调整后每股收益2.82美元，增长13%。两大业务持续增长——Employer Services收入增长6%，PEO Services增长7%；客户资金利息收入增长1%。公司同时上调全年业绩预期。</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DP这份财报对国内人力资源服务商有两个参照价值。第一，PEO（专业雇主组织）业务增速高于传统雇主服务，说明“用工责任承接型”服务的需求弹性更强——这与国内劳务派遣向外包转型的方向一致。第二，26.8%的调整后EBIT利润率是行业天花板级水平，其支撑来自规模化的薪酬基础设施与客户资金浮存收益，这两项在国内都还不具备同等条件，因此国内龙头的利润率修复路径必须依赖业务结构升级而非规模效应。</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国内人力资源赛道：本周无重大融资披露，资本更关注三季报兑现</w:t>
      </w:r>
    </w:p>
    <w:p>
      <w:pPr>
        <w:spacing w:after="140" w:before="0" w:line="312" w:lineRule="auto"/>
        <w:ind w:left="113"/>
      </w:pPr>
      <w:r>
        <w:rPr>
          <w:rFonts w:ascii="微软雅黑" w:hAnsi="微软雅黑" w:eastAsia="微软雅黑"/>
          <w:b w:val="0"/>
          <w:i w:val="0"/>
          <w:color w:val="202833"/>
          <w:sz w:val="22"/>
        </w:rPr>
        <w:t>与海外市场的活跃形成对比，国内人力资源赛道本周未见新的重大股权融资披露。市场关注点集中在三季报的业绩兑现上：科锐国际扣非增长24.02%获得相对正面解读，北京人力净利下滑48.9%则引发对传统人力服务商业模式的讨论。</w:t>
      </w:r>
    </w:p>
    <w:p>
      <w:pPr>
        <w:spacing w:after="140" w:before="0" w:line="312" w:lineRule="auto"/>
        <w:ind w:left="113"/>
      </w:pPr>
      <w:r>
        <w:rPr>
          <w:rFonts w:ascii="微软雅黑" w:hAnsi="微软雅黑" w:eastAsia="微软雅黑"/>
          <w:b w:val="0"/>
          <w:i w:val="0"/>
          <w:color w:val="202833"/>
          <w:sz w:val="22"/>
        </w:rPr>
        <w:t>从A股人力资源板块表现看，10月27日社会服务行业整体下跌2.38%，主力资金净流入1.07亿元，板块内部资金呈结构性流入而非普涨。这说明市场当前对人力资源赛道的定价逻辑是“挑结构”而非“押赛道”。</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需要提示的是，国内HR科技一级市场的融资节奏自2025年下半年以来持续偏慢，投资人普遍提高了对收入质量与现金流的权重。外服控股经营现金流同比下降96.06%、北京人力经营现金流为负，这两项数据会成为一级市场估值谈判中的重要参照——轻资产、预收款模式、现金流健康的HR SaaS与灵活用工平台将获得更明显的估值溢价。</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海外资本的投向很明确：AI不是用来“替代HR”，而是用来“重构交付模型”——Jooba的AI代理+人类质控、Firstwork的一线员工全周期、CoComply的用工合规分类，本质都是把原本依赖人力的服务环节产品化。国内机构应重点关注这一轮模型迁移对猎头、外包、合规三条业务线的成本结构冲击。</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事件一：地方“十五五”就业规划把AI就业影响监测写入文件，意味着什么</w:t>
      </w:r>
    </w:p>
    <w:p>
      <w:pPr>
        <w:spacing w:after="140" w:before="0" w:line="312" w:lineRule="auto"/>
        <w:ind w:left="113"/>
      </w:pPr>
      <w:r>
        <w:rPr>
          <w:rFonts w:ascii="微软雅黑" w:hAnsi="微软雅黑" w:eastAsia="微软雅黑"/>
          <w:b w:val="0"/>
          <w:i w:val="0"/>
          <w:color w:val="202833"/>
          <w:sz w:val="22"/>
        </w:rPr>
        <w:t>国办发〔2026〕29号文要求“对市场准入领域可能造成较大就业冲击的人工智能应用场景项目，在评审时同步开展就业风险评估”。本周十余省份的就业专项规划把这个要求具体化为“探索建立人工智能就业影响监测及评估相关机制”，跟踪AI应用渗透、技能需求变化等情况。这是政策链条从“原则”走向“机制”的关键一步，其影响可以从三个层面拆解。</w:t>
      </w:r>
    </w:p>
    <w:p>
      <w:pPr>
        <w:spacing w:after="140" w:before="0" w:line="312" w:lineRule="auto"/>
        <w:ind w:left="113"/>
      </w:pPr>
      <w:r>
        <w:rPr>
          <w:rFonts w:ascii="微软雅黑" w:hAnsi="微软雅黑" w:eastAsia="微软雅黑"/>
          <w:b w:val="0"/>
          <w:i w:val="0"/>
          <w:color w:val="202833"/>
          <w:sz w:val="22"/>
        </w:rPr>
        <w:t>第一层是数据供给。要监测AI的就业影响，必须有岗位层面的高频数据——哪些岗位在减少、哪些在新增、技能要求如何变化。目前具备这种数据能力的只有招聘平台和人社部门。这意味着智联招聘、BOSS直聘这类平台将从“招聘服务商”向“就业监测基础设施”延伸，政务数据服务可能成为新的收入来源。本周智联与上财联合发布数字经济人才引力指数，某种意义上是这种能力的公开展示。</w:t>
      </w:r>
    </w:p>
    <w:p>
      <w:pPr>
        <w:spacing w:after="140" w:before="0" w:line="312" w:lineRule="auto"/>
        <w:ind w:left="113"/>
      </w:pPr>
      <w:r>
        <w:rPr>
          <w:rFonts w:ascii="微软雅黑" w:hAnsi="微软雅黑" w:eastAsia="微软雅黑"/>
          <w:b w:val="0"/>
          <w:i w:val="0"/>
          <w:color w:val="202833"/>
          <w:sz w:val="22"/>
        </w:rPr>
        <w:t>第二层是企业合规成本。一旦“就业风险评估”成为AI项目的审批要件，企业在上AI系统时就需要准备就业影响说明。这会催生一类新服务：AI用工影响评估与合规咨询。海外的CoComply做的正是类似的事——帮助企业管理外部劳动力的合规风险，本周刚拿到190万英镑融资。国内这个市场目前基本空白。</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三层是人力资源服务业的角色变化。如果“失业缓冲期制度”逐步落地（29号文已提出鼓励企业探索），企业需要的就不只是裁员执行，而是过渡期的人员安置、技能再培训、内部转岗匹配。这恰好是科锐国际、外服控股这类具备外包与培训能力的机构可以承接的业务。本周科锐国际扣非净利增长24.02%而北京人力净利下滑48.9%，某种程度上已经反映了这种能力差异的定价。</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事件二：三家龙头三季报的分化，暴露了人力资源服务的真实竞争壁垒</w:t>
      </w:r>
    </w:p>
    <w:p>
      <w:pPr>
        <w:spacing w:after="140" w:before="0" w:line="312" w:lineRule="auto"/>
        <w:ind w:left="113"/>
      </w:pPr>
      <w:r>
        <w:rPr>
          <w:rFonts w:ascii="微软雅黑" w:hAnsi="微软雅黑" w:eastAsia="微软雅黑"/>
          <w:b w:val="0"/>
          <w:i w:val="0"/>
          <w:color w:val="202833"/>
          <w:sz w:val="22"/>
        </w:rPr>
        <w:t>把三家公司的数据放在一起看，会发现一个反直觉的结论：营收规模与盈利能力正在脱钩。北京人力营收339.2亿元，是科锐国际的2.8倍，但净利只有5.14亿元且同比腰斩；科锐国际营收120.65亿元，净利2.26亿元，扣非增长24.02%。外服控股营收196.01亿元，净利5.63亿元，绝对利润最高但扣非下滑2.16%、现金流几乎归零。</w:t>
      </w:r>
    </w:p>
    <w:p>
      <w:pPr>
        <w:spacing w:after="140" w:before="0" w:line="312" w:lineRule="auto"/>
        <w:ind w:left="113"/>
      </w:pPr>
      <w:r>
        <w:rPr>
          <w:rFonts w:ascii="微软雅黑" w:hAnsi="微软雅黑" w:eastAsia="微软雅黑"/>
          <w:b w:val="0"/>
          <w:i w:val="0"/>
          <w:color w:val="202833"/>
          <w:sz w:val="22"/>
        </w:rPr>
        <w:t>分化的根源在业务结构。北京人力主营人力资源管理、劳务派遣、职业培训，劳务派遣是典型的低毛利、重垫资业务，公司在报告中直言面临“用工市场波动、重点客户需求及结算调整”的挑战——这是客户集中度高+议价能力弱的结构性问题。外服控股经营现金流下降96.06%，公司解释为客户服务费结算周期延长，同样是垫资模式在弱需求环境下的必然结果。</w:t>
      </w:r>
    </w:p>
    <w:p>
      <w:pPr>
        <w:spacing w:after="140" w:before="0" w:line="312" w:lineRule="auto"/>
        <w:ind w:left="113"/>
      </w:pPr>
      <w:r>
        <w:rPr>
          <w:rFonts w:ascii="微软雅黑" w:hAnsi="微软雅黑" w:eastAsia="微软雅黑"/>
          <w:b w:val="0"/>
          <w:i w:val="0"/>
          <w:color w:val="202833"/>
          <w:sz w:val="22"/>
        </w:rPr>
        <w:t>科锐国际的差异在于“技术+平台+服务”的生态布局与国际化业务占比。其扣非增速（24.02%）显著高于营收增速（12.18%），说明增长来自高毛利业务的占比提升，而非单纯规模扩张。</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这组数据给出的行业判断是：传统劳务派遣/人事代理的商业模式已经触及天花板，在客户预算收缩时会同时承受收入下滑和现金流恶化的双重压力。未来人力资源服务商的护城河不在人力池规模，而在三件事——能否把交付流程产品化（降低对人力的边际依赖）、能否获取高毛利的专业服务收入（外包、咨询、出海）、能否保持现金流健康（预收而非垫资）。这三条恰好也是本周海外融资标的共同的特征。</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事件三：出海人才需求从“卖货”转向“建能力”，服务商的价值重心随之外移</w:t>
      </w:r>
    </w:p>
    <w:p>
      <w:pPr>
        <w:spacing w:after="140" w:before="0" w:line="312" w:lineRule="auto"/>
        <w:ind w:left="113"/>
      </w:pPr>
      <w:r>
        <w:rPr>
          <w:rFonts w:ascii="微软雅黑" w:hAnsi="微软雅黑" w:eastAsia="微软雅黑"/>
          <w:b w:val="0"/>
          <w:i w:val="0"/>
          <w:color w:val="202833"/>
          <w:sz w:val="22"/>
        </w:rPr>
        <w:t>前程无忧的出海人才数据与劳动经济学会的境外就业研讨，本周构成了一个完整的因果链。</w:t>
      </w:r>
    </w:p>
    <w:p>
      <w:pPr>
        <w:spacing w:after="140" w:before="0" w:line="312" w:lineRule="auto"/>
        <w:ind w:left="113"/>
      </w:pPr>
      <w:r>
        <w:rPr>
          <w:rFonts w:ascii="微软雅黑" w:hAnsi="微软雅黑" w:eastAsia="微软雅黑"/>
          <w:b w:val="0"/>
          <w:i w:val="0"/>
          <w:color w:val="202833"/>
          <w:sz w:val="22"/>
        </w:rPr>
        <w:t>需求端看，出海职位的结构位移非常明确：电商运营类占比从27.5%降至14.8%，外贸采购类从11.7%升至15.7%，销售类仍居首但月薪从2.05万降至1.97万。同时，出海企业最紧缺人才中高级技术骨干占67.7%。这说明中国企业的出海阶段已经切换——从“把货卖出去”到“把能力建起来”，需要的是能落地生产、交付、服务的技术与管理人才，而非流量运营。</w:t>
      </w:r>
    </w:p>
    <w:p>
      <w:pPr>
        <w:spacing w:after="140" w:before="0" w:line="312" w:lineRule="auto"/>
        <w:ind w:left="113"/>
      </w:pPr>
      <w:r>
        <w:rPr>
          <w:rFonts w:ascii="微软雅黑" w:hAnsi="微软雅黑" w:eastAsia="微软雅黑"/>
          <w:b w:val="0"/>
          <w:i w:val="0"/>
          <w:color w:val="202833"/>
          <w:sz w:val="22"/>
        </w:rPr>
        <w:t>供给端看，境外中资企业从业人员476.1万人中，外方雇员296.5万、中方外派约180万，属地化比例已达62%。这意味着单纯“派人出去”的市场空间在收窄，真正的增量在“帮企业把当地用工体系建起来”——包括属地招聘、薪酬合规、培训体系、风险管控。西南财经大学董艳调研发现非洲中资企业需投入大量资源开展岗前培训，这本身就是可交付的服务产品。</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策端看，专家反复强调的两条底线值得所有从业者记住：一是青年境外就业不能简单作为国内就业压力的“出口”，二是必须坚持风险前置。配套建议包括建立动态更新的国别风险分级评估清单、构建跨部门协同机制、制定境外就业风险监测预警和突发事件应急处置预案。一旦这些成为监管要求，具备国别合规能力的机构将获得准入优势，而无资质的中介将被清出市场。</w:t>
      </w:r>
    </w:p>
    <w:p>
      <w:pPr>
        <w:spacing w:after="140" w:before="0" w:line="312" w:lineRule="auto"/>
        <w:ind w:left="113"/>
      </w:pPr>
      <w:r>
        <w:rPr>
          <w:rFonts w:ascii="微软雅黑" w:hAnsi="微软雅黑" w:eastAsia="微软雅黑"/>
          <w:b w:val="0"/>
          <w:i w:val="0"/>
          <w:color w:val="202833"/>
          <w:sz w:val="22"/>
        </w:rPr>
        <w:t>对人力资源服务商的具体启示有三点：把国别用工知识库作为核心资产积累（法律、签证、税制、劳工标准）；把培训做成标准化可交付产品（北外牛华勇提出的“专业技术+语言国别+风险素养”三层模型可直接作为课程框架）；把归国人才再配置作为存量市场开发（唐代盛指出的海外经历认定、证书互认、再就业支持三缺口）。</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周三个重点事件其实指向同一个判断：人力资源行业的价值正在从“人力供给”向“能力供给”迁移。AI监测机制要的是数据能力，龙头分化考的是结构能力，出海转向要的是国别能力——三者都不是靠扩大人力池能解决的。</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趋势一：政策执行层落地，AI就业治理从“议题”变成“业务”</w:t>
      </w:r>
    </w:p>
    <w:p>
      <w:pPr>
        <w:spacing w:after="140" w:before="0" w:line="312" w:lineRule="auto"/>
        <w:ind w:left="113"/>
      </w:pPr>
      <w:r>
        <w:rPr>
          <w:rFonts w:ascii="微软雅黑" w:hAnsi="微软雅黑" w:eastAsia="微软雅黑"/>
          <w:b w:val="0"/>
          <w:i w:val="0"/>
          <w:color w:val="202833"/>
          <w:sz w:val="22"/>
        </w:rPr>
        <w:t>国办29号文定调后，十余省份在两周内把AI就业影响监测评估写入“十五五”就业规划，落地速度超出预期。可以预判的政策演进路径是：地方建机制→数据口径统一→评估方法标准化→成为AI项目审批与补贴发放的参考依据。这条路径走完后，会形成三类可持续的业务需求：面向政府侧的就业监测数据服务、面向企业侧的AI用工影响评估与合规咨询、面向劳动者侧的技能转型培训与转岗安置。建议人力资源服务商在2027年上半年之前完成这三类产品的前期布局，尤其是第二类，目前国内市场基本空白。</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趋势二：龙头分化加速，行业进入“结构质量”竞争阶段</w:t>
      </w:r>
    </w:p>
    <w:p>
      <w:pPr>
        <w:spacing w:after="140" w:before="0" w:line="312" w:lineRule="auto"/>
        <w:ind w:left="113"/>
      </w:pPr>
      <w:r>
        <w:rPr>
          <w:rFonts w:ascii="微软雅黑" w:hAnsi="微软雅黑" w:eastAsia="微软雅黑"/>
          <w:b w:val="0"/>
          <w:i w:val="0"/>
          <w:color w:val="202833"/>
          <w:sz w:val="22"/>
        </w:rPr>
        <w:t>三家龙头三季报的分化不会是单季度现象。判断依据是分化来源属于结构性而非周期性：北京人力的客户集中度与派遣业务占比、外服控股的垫资模式，都是多年积累的业务结构特征，不可能在一个季度内改变。科锐国际的扣非高增长来自高毛利业务占比提升，同样具有持续性。由此推导，2027年行业集中度会继续提升，但提升的方式不是大鱼吃小鱼，而是“结构优的吃结构差的”——具备外包、咨询、出海、SaaS能力的机构将收购或挤压纯派遣型机构。对投资机构而言，估值锚应从营收规模转向扣非净利增速与经营现金流质量。</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趋势三：灵活用工从“成本工具”变为“制度安排”</w:t>
      </w:r>
    </w:p>
    <w:p>
      <w:pPr>
        <w:spacing w:after="140" w:before="0" w:line="312" w:lineRule="auto"/>
        <w:ind w:left="113"/>
      </w:pPr>
      <w:r>
        <w:rPr>
          <w:rFonts w:ascii="微软雅黑" w:hAnsi="微软雅黑" w:eastAsia="微软雅黑"/>
          <w:b w:val="0"/>
          <w:i w:val="0"/>
          <w:color w:val="202833"/>
          <w:sz w:val="22"/>
        </w:rPr>
        <w:t>深圳APEC会议周的灵活办公协调机制提供了一个重要样本：政府倡导、企业因企施策、岗位分类安排，在不增加企业刚性成本的前提下实现城市级人力调度。这套机制的可复制场景很多——大型活动、极端天气、突发事件、区域性交通管制。对HR SaaS厂商而言，这是排班管理、远程协同、弹性考勤产品的明确需求信号；对灵活用工平台而言，未来可能承接政府或园区的“弹性用工调度”服务。同时，新就业形态劳动者权益保障的制度框架正在完善，灵活用工的合规成本会持续上升，平台需提前完成社保、商保、税务的系统化改造。</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趋势四：出海用工属地化不可逆，服务价值向合规与培训迁移</w:t>
      </w:r>
    </w:p>
    <w:p>
      <w:pPr>
        <w:spacing w:after="140" w:before="0" w:line="312" w:lineRule="auto"/>
        <w:ind w:left="113"/>
      </w:pPr>
      <w:r>
        <w:rPr>
          <w:rFonts w:ascii="微软雅黑" w:hAnsi="微软雅黑" w:eastAsia="微软雅黑"/>
          <w:b w:val="0"/>
          <w:i w:val="0"/>
          <w:color w:val="202833"/>
          <w:sz w:val="22"/>
        </w:rPr>
        <w:t>中方外派180万对当地雇员296.5万的比例已经说明，中资企业海外用工的主体是属地员工。出海职位中高级技术骨干占紧缺人才67.7%，进一步确认需求已进入“建能力”阶段。据此判断，未来3年出海人力资源服务的收入结构会发生逆转：单纯的跨境招聘交付占比下降，属地薪酬外包、合规咨询、培训体系建设、归国人才再配置的占比上升。具备国别知识库与合规资质的机构将获得准入壁垒。</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风险提示一：客户结算周期延长的现金流风险正在扩散</w:t>
      </w:r>
    </w:p>
    <w:p>
      <w:pPr>
        <w:spacing w:after="140" w:before="0" w:line="312" w:lineRule="auto"/>
        <w:ind w:left="113"/>
      </w:pPr>
      <w:r>
        <w:rPr>
          <w:rFonts w:ascii="微软雅黑" w:hAnsi="微软雅黑" w:eastAsia="微软雅黑"/>
          <w:b w:val="0"/>
          <w:i w:val="0"/>
          <w:color w:val="202833"/>
          <w:sz w:val="22"/>
        </w:rPr>
        <w:t>外服控股经营现金流净额1668.74万元、同比下降96.06%，北京人力经营现金流-9425万元、同比下降109.8%——两家规模最大的公司同时出现现金流急剧恶化，且原因均指向客户服务费结算周期延长与重点客户需求调整。这不是个别现象，而是需求端预算收缩向人力资源服务商传导的直接结果。需要重点关注：应收账款周转天数是否继续拉长、坏账计提是否充分、是否存在通过延长应付供应商账期来掩盖现金流压力的情况。对以垫资模式运营的派遣与外包业务，2027年上半年的现金流压力可能进一步加大。</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风险提示二：AI替代的执行岗集中在中低技能人群，社会成本需前置评估</w:t>
      </w:r>
    </w:p>
    <w:p>
      <w:pPr>
        <w:spacing w:after="140" w:before="0" w:line="312" w:lineRule="auto"/>
        <w:ind w:left="113"/>
      </w:pPr>
      <w:r>
        <w:rPr>
          <w:rFonts w:ascii="微软雅黑" w:hAnsi="微软雅黑" w:eastAsia="微软雅黑"/>
          <w:b w:val="0"/>
          <w:i w:val="0"/>
          <w:color w:val="202833"/>
          <w:sz w:val="22"/>
        </w:rPr>
        <w:t>本周老干妈AI质检传闻与餐饮业AI渗透的讨论，揭示了一个容易被忽略的事实：AI替代的不是高端岗位，而是执行环节的低门槛岗位——拣椒、切配、洗碗、基础客服、基础设计。这些岗位恰恰是年龄较大、教育背景有限的劳动者最重要的就业入口。一旦替代加速，这部分人群的再就业难度远高于白领。企业与政策制定者需要前置评估这一社会成本，人力资源服务商则应提前布局面向中低技能人群的岗位转移与技能再培训产品。这也是国办29号文提出“失业缓冲期制度”的现实背景。</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风险提示三：跨境劳务的合规与人身安全风险仍处高位</w:t>
      </w:r>
    </w:p>
    <w:p>
      <w:pPr>
        <w:spacing w:after="140" w:before="0" w:line="312" w:lineRule="auto"/>
        <w:ind w:left="113"/>
      </w:pPr>
      <w:r>
        <w:rPr>
          <w:rFonts w:ascii="微软雅黑" w:hAnsi="微软雅黑" w:eastAsia="微软雅黑"/>
          <w:b w:val="0"/>
          <w:i w:val="0"/>
          <w:color w:val="202833"/>
          <w:sz w:val="22"/>
        </w:rPr>
        <w:t>专家在境外就业研讨会上明确提示，部分青年赴海外就业未经由正规外派渠道，存在个人自主求职、中介机构经营不规范等乱象，青年劳动者信息获取不对称，极易陷入权益受损困境。叠加部分国家政局与安全形势变化，跨境劳务的人身安全与法律风险仍处高位。建议相关机构严格执行国别风险分级管理，不为高风险国家项目提供无保障的输出服务；同时在合同中明确应急处置责任与保险安排。对投资者而言，涉及跨境劳务业务的公司需重点核查其合规资质与风险准备金情况。</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风险提示四：招聘黑产向站外闭环迁移，平台治理与求职者保护双重承压</w:t>
      </w:r>
    </w:p>
    <w:p>
      <w:pPr>
        <w:spacing w:after="140" w:before="0" w:line="312" w:lineRule="auto"/>
        <w:ind w:left="113"/>
      </w:pPr>
      <w:r>
        <w:rPr>
          <w:rFonts w:ascii="微软雅黑" w:hAnsi="微软雅黑" w:eastAsia="微软雅黑"/>
          <w:b w:val="0"/>
          <w:i w:val="0"/>
          <w:color w:val="202833"/>
          <w:sz w:val="22"/>
        </w:rPr>
        <w:t>前程无忧披露的双十一招聘黑产特征值得警惕：作案手法已从显性“收费入职”转向“职位做流量入口、站外做转化”，通过引导求职者加外部群聊脱离平台监管，用“一单一结”“垫资返佣”制造获利假象，败露即失联换号。这类黑产不仅造成财产损失，还可能导致求职者个人信息泄露甚至无意中参与非法活动而承担连带法律责任。平台侧需持续迭代风控策略、扩充黑产行为特征库；求职者侧应守住三条底线：不轻信低门槛高薪兼职、拒绝任何事前收费、沟通留在平台内。</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四条趋势的共同指向是“能力定价”取代“规模定价”，四条风险的共同指向是“现金流与合规”成为生存底线。在这个阶段，扩张不再是正确答案，结构优化与风险控制才是。</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本周把人力资源行业的两条主线都摆到了台面上：政策在加速建机制，市场在加速分结构。前者意味着新的合规需求与数据服务市场正在打开，后者意味着靠人力池规模赚钱的时代已经结束。对行业参与者而言，未来12个月最重要的三个动作是——把交付流程产品化、把现金流从垫资转成预收、把国别与AI合规能力做成可交付的服务。谁先完成这三件事，谁就能在2027年的分化中站在科锐国际那一侧，而不是北京人力那一侧。</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生成时间：2026-10-29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